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F07F5" w:rsidRPr="004619D5" w:rsidRDefault="003B038F" w:rsidP="00DF07F5">
      <w:pPr>
        <w:spacing w:after="0" w:line="240" w:lineRule="auto"/>
        <w:rPr>
          <w:rFonts w:ascii="Aptos" w:eastAsia="Aptos" w:hAnsi="Aptos" w:cs="Aptos"/>
          <w:b/>
          <w:bCs/>
          <w:kern w:val="0"/>
          <w:sz w:val="22"/>
          <w:szCs w:val="22"/>
          <w14:ligatures w14:val="none"/>
        </w:rPr>
      </w:pPr>
      <w:r w:rsidRPr="004619D5">
        <w:rPr>
          <w:rFonts w:ascii="Aptos" w:eastAsia="Aptos" w:hAnsi="Aptos" w:cs="Aptos"/>
          <w:b/>
          <w:bCs/>
          <w:kern w:val="0"/>
          <w:sz w:val="22"/>
          <w:szCs w:val="22"/>
          <w14:ligatures w14:val="none"/>
        </w:rPr>
        <w:t>March 2026</w:t>
      </w:r>
      <w:r w:rsidR="00DF07F5" w:rsidRPr="004619D5">
        <w:rPr>
          <w:rFonts w:ascii="Aptos" w:eastAsia="Aptos" w:hAnsi="Aptos" w:cs="Aptos"/>
          <w:b/>
          <w:bCs/>
          <w:kern w:val="0"/>
          <w:sz w:val="22"/>
          <w:szCs w:val="22"/>
          <w14:ligatures w14:val="none"/>
        </w:rPr>
        <w:t xml:space="preserve">                                                  </w:t>
      </w:r>
    </w:p>
    <w:p w:rsidR="00DF07F5" w:rsidRPr="004619D5" w:rsidRDefault="00B23692" w:rsidP="00DF07F5">
      <w:pPr>
        <w:spacing w:after="0" w:line="240" w:lineRule="auto"/>
        <w:rPr>
          <w:rFonts w:ascii="Aptos" w:eastAsia="Aptos" w:hAnsi="Aptos" w:cs="Aptos"/>
          <w:b/>
          <w:bCs/>
          <w:color w:val="7030A0"/>
          <w:kern w:val="0"/>
          <w:sz w:val="22"/>
          <w:szCs w:val="22"/>
          <w14:ligatures w14:val="none"/>
        </w:rPr>
      </w:pPr>
      <w:r>
        <w:rPr>
          <w:rFonts w:ascii="Aptos" w:eastAsia="Aptos" w:hAnsi="Aptos" w:cs="Aptos"/>
          <w:b/>
          <w:bCs/>
          <w:color w:val="7030A0"/>
          <w:kern w:val="0"/>
          <w:sz w:val="22"/>
          <w:szCs w:val="22"/>
          <w14:ligatures w14:val="none"/>
        </w:rPr>
        <w:t>Learning</w:t>
      </w:r>
      <w:r w:rsidR="00DF07F5" w:rsidRPr="004619D5">
        <w:rPr>
          <w:rFonts w:ascii="Aptos" w:eastAsia="Aptos" w:hAnsi="Aptos" w:cs="Aptos"/>
          <w:b/>
          <w:bCs/>
          <w:color w:val="7030A0"/>
          <w:kern w:val="0"/>
          <w:sz w:val="22"/>
          <w:szCs w:val="22"/>
          <w14:ligatures w14:val="none"/>
        </w:rPr>
        <w:t xml:space="preserve"> Briefing</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DF07F5" w:rsidRPr="004619D5">
        <w:tc>
          <w:tcPr>
            <w:tcW w:w="9016" w:type="dxa"/>
            <w:shd w:val="clear" w:color="auto" w:fill="3A7C22" w:themeFill="accent6" w:themeFillShade="BF"/>
            <w:hideMark/>
          </w:tcPr>
          <w:p w:rsidR="00DF07F5" w:rsidRPr="004619D5" w:rsidRDefault="00DF07F5" w:rsidP="00DF07F5">
            <w:pPr>
              <w:numPr>
                <w:ilvl w:val="0"/>
                <w:numId w:val="11"/>
              </w:numPr>
              <w:contextualSpacing/>
              <w:rPr>
                <w:b/>
                <w:bCs/>
                <w:sz w:val="22"/>
                <w:szCs w:val="22"/>
              </w:rPr>
            </w:pPr>
            <w:r w:rsidRPr="004619D5">
              <w:rPr>
                <w:b/>
                <w:bCs/>
                <w:color w:val="FFFFFF" w:themeColor="background1"/>
                <w:sz w:val="22"/>
                <w:szCs w:val="22"/>
              </w:rPr>
              <w:t>Purpose</w:t>
            </w:r>
          </w:p>
        </w:tc>
      </w:tr>
      <w:tr w:rsidR="00DF07F5" w:rsidRPr="004619D5">
        <w:tc>
          <w:tcPr>
            <w:tcW w:w="9016" w:type="dxa"/>
            <w:shd w:val="clear" w:color="auto" w:fill="D9F2D0" w:themeFill="accent6" w:themeFillTint="33"/>
            <w:hideMark/>
          </w:tcPr>
          <w:p w:rsidR="00DF07F5" w:rsidRPr="004619D5" w:rsidRDefault="00E15FCA" w:rsidP="003B038F">
            <w:pPr>
              <w:rPr>
                <w:sz w:val="22"/>
                <w:szCs w:val="22"/>
              </w:rPr>
            </w:pPr>
            <w:r w:rsidRPr="004619D5">
              <w:rPr>
                <w:sz w:val="22"/>
                <w:szCs w:val="22"/>
              </w:rPr>
              <w:t>This briefing share</w:t>
            </w:r>
            <w:r w:rsidR="003B038F" w:rsidRPr="004619D5">
              <w:rPr>
                <w:sz w:val="22"/>
                <w:szCs w:val="22"/>
              </w:rPr>
              <w:t>s</w:t>
            </w:r>
            <w:r w:rsidRPr="004619D5">
              <w:rPr>
                <w:sz w:val="22"/>
                <w:szCs w:val="22"/>
              </w:rPr>
              <w:t xml:space="preserve"> key learning from a recent safeguarding review to support reflection, learning, and improvement across agencies.</w:t>
            </w:r>
            <w:r w:rsidR="003B038F" w:rsidRPr="004619D5">
              <w:rPr>
                <w:sz w:val="22"/>
                <w:szCs w:val="22"/>
              </w:rPr>
              <w:t xml:space="preserve"> </w:t>
            </w:r>
            <w:r w:rsidRPr="004619D5">
              <w:rPr>
                <w:sz w:val="22"/>
                <w:szCs w:val="22"/>
              </w:rPr>
              <w:t>All personal and identifying details had been removed or generalised to protect the privacy of the baby and their family.</w:t>
            </w:r>
          </w:p>
        </w:tc>
      </w:tr>
      <w:tr w:rsidR="00DF07F5" w:rsidRPr="004619D5">
        <w:tc>
          <w:tcPr>
            <w:tcW w:w="9016" w:type="dxa"/>
            <w:shd w:val="clear" w:color="auto" w:fill="E59EDC" w:themeFill="accent5" w:themeFillTint="66"/>
            <w:hideMark/>
          </w:tcPr>
          <w:p w:rsidR="00DF07F5" w:rsidRPr="004619D5" w:rsidRDefault="00DF07F5" w:rsidP="00DF07F5">
            <w:pPr>
              <w:numPr>
                <w:ilvl w:val="0"/>
                <w:numId w:val="11"/>
              </w:numPr>
              <w:contextualSpacing/>
              <w:rPr>
                <w:sz w:val="22"/>
                <w:szCs w:val="22"/>
              </w:rPr>
            </w:pPr>
            <w:r w:rsidRPr="004619D5">
              <w:rPr>
                <w:rFonts w:eastAsia="Times New Roman" w:cs="Aptos"/>
                <w:b/>
                <w:bCs/>
                <w:kern w:val="0"/>
                <w:sz w:val="22"/>
                <w:szCs w:val="22"/>
                <w14:ligatures w14:val="none"/>
              </w:rPr>
              <w:t>Type of Review</w:t>
            </w:r>
          </w:p>
        </w:tc>
      </w:tr>
      <w:tr w:rsidR="00DF07F5" w:rsidRPr="004619D5" w:rsidTr="006347E9">
        <w:tc>
          <w:tcPr>
            <w:tcW w:w="9016" w:type="dxa"/>
            <w:shd w:val="clear" w:color="auto" w:fill="F2CEED" w:themeFill="accent5" w:themeFillTint="33"/>
          </w:tcPr>
          <w:p w:rsidR="00DF07F5" w:rsidRPr="004619D5" w:rsidRDefault="0084778C" w:rsidP="00DF07F5">
            <w:pPr>
              <w:rPr>
                <w:sz w:val="22"/>
                <w:szCs w:val="22"/>
              </w:rPr>
            </w:pPr>
            <w:r w:rsidRPr="004619D5">
              <w:rPr>
                <w:sz w:val="22"/>
                <w:szCs w:val="22"/>
              </w:rPr>
              <w:t>Rapid Review</w:t>
            </w:r>
          </w:p>
        </w:tc>
      </w:tr>
      <w:tr w:rsidR="00DF07F5" w:rsidRPr="004619D5">
        <w:tc>
          <w:tcPr>
            <w:tcW w:w="9016" w:type="dxa"/>
            <w:shd w:val="clear" w:color="auto" w:fill="3A7C22" w:themeFill="accent6" w:themeFillShade="BF"/>
            <w:hideMark/>
          </w:tcPr>
          <w:p w:rsidR="00DF07F5" w:rsidRPr="004619D5" w:rsidRDefault="00DF07F5" w:rsidP="00DF07F5">
            <w:pPr>
              <w:numPr>
                <w:ilvl w:val="0"/>
                <w:numId w:val="11"/>
              </w:numPr>
              <w:contextualSpacing/>
              <w:rPr>
                <w:sz w:val="22"/>
                <w:szCs w:val="22"/>
              </w:rPr>
            </w:pPr>
            <w:r w:rsidRPr="004619D5">
              <w:rPr>
                <w:rFonts w:eastAsia="Times New Roman" w:cs="Aptos"/>
                <w:b/>
                <w:bCs/>
                <w:color w:val="FFFFFF" w:themeColor="background1"/>
                <w:kern w:val="0"/>
                <w:sz w:val="22"/>
                <w:szCs w:val="22"/>
                <w14:ligatures w14:val="none"/>
              </w:rPr>
              <w:t>Reason for Review:</w:t>
            </w:r>
          </w:p>
        </w:tc>
      </w:tr>
      <w:tr w:rsidR="00DF07F5" w:rsidRPr="004619D5">
        <w:tc>
          <w:tcPr>
            <w:tcW w:w="9016" w:type="dxa"/>
            <w:shd w:val="clear" w:color="auto" w:fill="D9F2D0" w:themeFill="accent6" w:themeFillTint="33"/>
            <w:hideMark/>
          </w:tcPr>
          <w:p w:rsidR="00DF07F5" w:rsidRPr="004619D5" w:rsidRDefault="00E15FCA" w:rsidP="0084778C">
            <w:pPr>
              <w:rPr>
                <w:sz w:val="22"/>
                <w:szCs w:val="22"/>
              </w:rPr>
            </w:pPr>
            <w:r w:rsidRPr="004619D5">
              <w:rPr>
                <w:rFonts w:eastAsia="Times New Roman" w:cs="Aptos"/>
                <w:kern w:val="0"/>
                <w:sz w:val="22"/>
                <w:szCs w:val="22"/>
                <w14:ligatures w14:val="none"/>
              </w:rPr>
              <w:t>Following a birth, a baby was identified as having sustained a significant injury shortly after delivery. Additional serious medical concerns were identified through clinical assessment. Hospital clinicians understood these findings to be unexplained and raised safeguarding concerns, including consideration of whether harm may have occurred before birth.</w:t>
            </w:r>
          </w:p>
        </w:tc>
      </w:tr>
      <w:tr w:rsidR="00DF07F5" w:rsidRPr="004619D5">
        <w:tc>
          <w:tcPr>
            <w:tcW w:w="9016" w:type="dxa"/>
            <w:shd w:val="clear" w:color="auto" w:fill="E59EDC" w:themeFill="accent5" w:themeFillTint="66"/>
            <w:hideMark/>
          </w:tcPr>
          <w:p w:rsidR="00DF07F5" w:rsidRPr="004619D5" w:rsidRDefault="00DF07F5" w:rsidP="00DF07F5">
            <w:pPr>
              <w:numPr>
                <w:ilvl w:val="0"/>
                <w:numId w:val="11"/>
              </w:numPr>
              <w:contextualSpacing/>
              <w:rPr>
                <w:rFonts w:eastAsia="Times New Roman" w:cs="Aptos"/>
                <w:kern w:val="0"/>
                <w:sz w:val="22"/>
                <w:szCs w:val="22"/>
                <w14:ligatures w14:val="none"/>
              </w:rPr>
            </w:pPr>
            <w:r w:rsidRPr="004619D5">
              <w:rPr>
                <w:rFonts w:cs="Aptos"/>
                <w:b/>
                <w:bCs/>
                <w:kern w:val="0"/>
                <w:sz w:val="22"/>
                <w:szCs w:val="22"/>
                <w14:ligatures w14:val="none"/>
              </w:rPr>
              <w:t>Key Learning Themes</w:t>
            </w:r>
          </w:p>
        </w:tc>
      </w:tr>
      <w:tr w:rsidR="00DF07F5" w:rsidRPr="004619D5" w:rsidTr="006347E9">
        <w:tc>
          <w:tcPr>
            <w:tcW w:w="9016" w:type="dxa"/>
            <w:shd w:val="clear" w:color="auto" w:fill="F2CEED" w:themeFill="accent5" w:themeFillTint="33"/>
          </w:tcPr>
          <w:p w:rsidR="00E15FCA" w:rsidRPr="004619D5" w:rsidRDefault="00E15FCA" w:rsidP="00E15FCA">
            <w:pPr>
              <w:contextualSpacing/>
              <w:rPr>
                <w:rFonts w:eastAsia="Times New Roman" w:cs="Aptos"/>
                <w:b/>
                <w:bCs/>
                <w:kern w:val="0"/>
                <w:sz w:val="22"/>
                <w:szCs w:val="22"/>
                <w14:ligatures w14:val="none"/>
              </w:rPr>
            </w:pPr>
            <w:r w:rsidRPr="004619D5">
              <w:rPr>
                <w:rFonts w:eastAsia="Times New Roman" w:cs="Aptos"/>
                <w:b/>
                <w:bCs/>
                <w:kern w:val="0"/>
                <w:sz w:val="22"/>
                <w:szCs w:val="22"/>
                <w14:ligatures w14:val="none"/>
              </w:rPr>
              <w:t>Recognising cumulative need and possible cumulative harm</w:t>
            </w:r>
          </w:p>
          <w:p w:rsidR="00E15FCA" w:rsidRPr="004619D5" w:rsidRDefault="00E15FCA" w:rsidP="00E15FCA">
            <w:pPr>
              <w:numPr>
                <w:ilvl w:val="0"/>
                <w:numId w:val="12"/>
              </w:numPr>
              <w:contextualSpacing/>
              <w:rPr>
                <w:rFonts w:eastAsia="Times New Roman" w:cs="Aptos"/>
                <w:kern w:val="0"/>
                <w:sz w:val="22"/>
                <w:szCs w:val="22"/>
                <w14:ligatures w14:val="none"/>
              </w:rPr>
            </w:pPr>
            <w:r w:rsidRPr="004619D5">
              <w:rPr>
                <w:rFonts w:eastAsia="Times New Roman" w:cs="Aptos"/>
                <w:kern w:val="0"/>
                <w:sz w:val="22"/>
                <w:szCs w:val="22"/>
                <w14:ligatures w14:val="none"/>
              </w:rPr>
              <w:t>Safeguarding responses were often focused on individual pregnancies or single events, rather than consistently considering patterns over time. The review identified that repeated extreme prematurity, neonatal loss, and significant neonatal injury were not always brought together into a shared safeguarding narrative. Earlier recognition and articulation of cumulative patterns across pregnancies and siblings may have supported more timely and anticipatory safeguarding responses.</w:t>
            </w:r>
          </w:p>
          <w:p w:rsidR="00E15FCA" w:rsidRPr="004619D5" w:rsidRDefault="00E15FCA" w:rsidP="00E15FCA">
            <w:pPr>
              <w:contextualSpacing/>
              <w:rPr>
                <w:rFonts w:eastAsia="Times New Roman" w:cs="Aptos"/>
                <w:b/>
                <w:bCs/>
                <w:kern w:val="0"/>
                <w:sz w:val="22"/>
                <w:szCs w:val="22"/>
                <w14:ligatures w14:val="none"/>
              </w:rPr>
            </w:pPr>
            <w:r w:rsidRPr="004619D5">
              <w:rPr>
                <w:rFonts w:eastAsia="Times New Roman" w:cs="Aptos"/>
                <w:b/>
                <w:bCs/>
                <w:kern w:val="0"/>
                <w:sz w:val="22"/>
                <w:szCs w:val="22"/>
                <w14:ligatures w14:val="none"/>
              </w:rPr>
              <w:t>Information sharing and the absence of a shared multi</w:t>
            </w:r>
            <w:r w:rsidRPr="004619D5">
              <w:rPr>
                <w:rFonts w:ascii="Cambria Math" w:eastAsia="Times New Roman" w:hAnsi="Cambria Math" w:cs="Cambria Math"/>
                <w:b/>
                <w:bCs/>
                <w:kern w:val="0"/>
                <w:sz w:val="22"/>
                <w:szCs w:val="22"/>
                <w14:ligatures w14:val="none"/>
              </w:rPr>
              <w:t>‑</w:t>
            </w:r>
            <w:r w:rsidRPr="004619D5">
              <w:rPr>
                <w:rFonts w:eastAsia="Times New Roman" w:cs="Aptos"/>
                <w:b/>
                <w:bCs/>
                <w:kern w:val="0"/>
                <w:sz w:val="22"/>
                <w:szCs w:val="22"/>
                <w14:ligatures w14:val="none"/>
              </w:rPr>
              <w:t>agency chronology</w:t>
            </w:r>
          </w:p>
          <w:p w:rsidR="00E15FCA" w:rsidRPr="004619D5" w:rsidRDefault="00E15FCA" w:rsidP="00E15FCA">
            <w:pPr>
              <w:numPr>
                <w:ilvl w:val="0"/>
                <w:numId w:val="12"/>
              </w:numPr>
              <w:contextualSpacing/>
              <w:rPr>
                <w:rFonts w:eastAsia="Times New Roman" w:cs="Aptos"/>
                <w:kern w:val="0"/>
                <w:sz w:val="22"/>
                <w:szCs w:val="22"/>
                <w14:ligatures w14:val="none"/>
              </w:rPr>
            </w:pPr>
            <w:r w:rsidRPr="004619D5">
              <w:rPr>
                <w:rFonts w:eastAsia="Times New Roman" w:cs="Aptos"/>
                <w:kern w:val="0"/>
                <w:sz w:val="22"/>
                <w:szCs w:val="22"/>
                <w14:ligatures w14:val="none"/>
              </w:rPr>
              <w:t>Relevant information was held across several agencies and health services at different points in time. The review found that the absence of a single, shared multi</w:t>
            </w:r>
            <w:r w:rsidRPr="004619D5">
              <w:rPr>
                <w:rFonts w:ascii="Cambria Math" w:eastAsia="Times New Roman" w:hAnsi="Cambria Math" w:cs="Cambria Math"/>
                <w:kern w:val="0"/>
                <w:sz w:val="22"/>
                <w:szCs w:val="22"/>
                <w14:ligatures w14:val="none"/>
              </w:rPr>
              <w:t>‑</w:t>
            </w:r>
            <w:r w:rsidRPr="004619D5">
              <w:rPr>
                <w:rFonts w:eastAsia="Times New Roman" w:cs="Aptos"/>
                <w:kern w:val="0"/>
                <w:sz w:val="22"/>
                <w:szCs w:val="22"/>
                <w14:ligatures w14:val="none"/>
              </w:rPr>
              <w:t>agency chronology reduced visibility of emerging patterns and made it more difficult for professionals</w:t>
            </w:r>
            <w:r w:rsidR="003B038F" w:rsidRPr="004619D5">
              <w:rPr>
                <w:rFonts w:eastAsia="Times New Roman" w:cs="Aptos"/>
                <w:kern w:val="0"/>
                <w:sz w:val="22"/>
                <w:szCs w:val="22"/>
                <w14:ligatures w14:val="none"/>
              </w:rPr>
              <w:t xml:space="preserve"> t</w:t>
            </w:r>
            <w:r w:rsidRPr="004619D5">
              <w:rPr>
                <w:rFonts w:eastAsia="Times New Roman" w:cs="Aptos"/>
                <w:kern w:val="0"/>
                <w:sz w:val="22"/>
                <w:szCs w:val="22"/>
                <w14:ligatures w14:val="none"/>
              </w:rPr>
              <w:t>o maintain a holistic understanding of risk over time. Where maternity and neonatal care had been provided by more than one hospital, earlier clinical history and safeguarding concerns were not always clearly visible or accessible, limiting cumulative risk assessment and joined</w:t>
            </w:r>
            <w:r w:rsidRPr="004619D5">
              <w:rPr>
                <w:rFonts w:ascii="Cambria Math" w:eastAsia="Times New Roman" w:hAnsi="Cambria Math" w:cs="Cambria Math"/>
                <w:kern w:val="0"/>
                <w:sz w:val="22"/>
                <w:szCs w:val="22"/>
                <w14:ligatures w14:val="none"/>
              </w:rPr>
              <w:t>‑</w:t>
            </w:r>
            <w:r w:rsidRPr="004619D5">
              <w:rPr>
                <w:rFonts w:eastAsia="Times New Roman" w:cs="Aptos"/>
                <w:kern w:val="0"/>
                <w:sz w:val="22"/>
                <w:szCs w:val="22"/>
                <w14:ligatures w14:val="none"/>
              </w:rPr>
              <w:t>up decision</w:t>
            </w:r>
            <w:r w:rsidRPr="004619D5">
              <w:rPr>
                <w:rFonts w:ascii="Cambria Math" w:eastAsia="Times New Roman" w:hAnsi="Cambria Math" w:cs="Cambria Math"/>
                <w:kern w:val="0"/>
                <w:sz w:val="22"/>
                <w:szCs w:val="22"/>
                <w14:ligatures w14:val="none"/>
              </w:rPr>
              <w:t>‑</w:t>
            </w:r>
            <w:r w:rsidRPr="004619D5">
              <w:rPr>
                <w:rFonts w:eastAsia="Times New Roman" w:cs="Aptos"/>
                <w:kern w:val="0"/>
                <w:sz w:val="22"/>
                <w:szCs w:val="22"/>
                <w14:ligatures w14:val="none"/>
              </w:rPr>
              <w:t>making.</w:t>
            </w:r>
          </w:p>
          <w:p w:rsidR="00E15FCA" w:rsidRPr="004619D5" w:rsidRDefault="00E15FCA" w:rsidP="00E15FCA">
            <w:pPr>
              <w:contextualSpacing/>
              <w:rPr>
                <w:rFonts w:eastAsia="Times New Roman" w:cs="Aptos"/>
                <w:b/>
                <w:bCs/>
                <w:kern w:val="0"/>
                <w:sz w:val="22"/>
                <w:szCs w:val="22"/>
                <w14:ligatures w14:val="none"/>
              </w:rPr>
            </w:pPr>
            <w:r w:rsidRPr="004619D5">
              <w:rPr>
                <w:rFonts w:eastAsia="Times New Roman" w:cs="Aptos"/>
                <w:b/>
                <w:bCs/>
                <w:kern w:val="0"/>
                <w:sz w:val="22"/>
                <w:szCs w:val="22"/>
                <w14:ligatures w14:val="none"/>
              </w:rPr>
              <w:t>Uncertainty, thresholds, and escalation across agencies</w:t>
            </w:r>
          </w:p>
          <w:p w:rsidR="00E15FCA" w:rsidRPr="004619D5" w:rsidRDefault="00E15FCA" w:rsidP="00E15FCA">
            <w:pPr>
              <w:numPr>
                <w:ilvl w:val="0"/>
                <w:numId w:val="12"/>
              </w:numPr>
              <w:contextualSpacing/>
              <w:rPr>
                <w:rFonts w:eastAsia="Times New Roman" w:cs="Aptos"/>
                <w:kern w:val="0"/>
                <w:sz w:val="22"/>
                <w:szCs w:val="22"/>
                <w14:ligatures w14:val="none"/>
              </w:rPr>
            </w:pPr>
            <w:r w:rsidRPr="004619D5">
              <w:rPr>
                <w:rFonts w:eastAsia="Times New Roman" w:cs="Aptos"/>
                <w:kern w:val="0"/>
                <w:sz w:val="22"/>
                <w:szCs w:val="22"/>
                <w14:ligatures w14:val="none"/>
              </w:rPr>
              <w:t>The review identified that diagnostic uncertainty influenced how concerns were understood and escalated. Although health professionals had raised safeguarding concerns and attempted to seek wider system oversight, different professional thresholds and unclear ownership of escalation affected the timeliness of collective decision</w:t>
            </w:r>
            <w:r w:rsidRPr="004619D5">
              <w:rPr>
                <w:rFonts w:ascii="Cambria Math" w:eastAsia="Times New Roman" w:hAnsi="Cambria Math" w:cs="Cambria Math"/>
                <w:kern w:val="0"/>
                <w:sz w:val="22"/>
                <w:szCs w:val="22"/>
                <w14:ligatures w14:val="none"/>
              </w:rPr>
              <w:t>‑</w:t>
            </w:r>
            <w:r w:rsidRPr="004619D5">
              <w:rPr>
                <w:rFonts w:eastAsia="Times New Roman" w:cs="Aptos"/>
                <w:kern w:val="0"/>
                <w:sz w:val="22"/>
                <w:szCs w:val="22"/>
                <w14:ligatures w14:val="none"/>
              </w:rPr>
              <w:t>making. Learning indicated the importance of shared understanding about when cumulative indicators should prompt safeguarding escalation, even where causation had not been fully established.</w:t>
            </w:r>
          </w:p>
          <w:p w:rsidR="00E15FCA" w:rsidRPr="004619D5" w:rsidRDefault="00E15FCA" w:rsidP="00E15FCA">
            <w:pPr>
              <w:contextualSpacing/>
              <w:rPr>
                <w:rFonts w:eastAsia="Times New Roman" w:cs="Aptos"/>
                <w:b/>
                <w:bCs/>
                <w:kern w:val="0"/>
                <w:sz w:val="22"/>
                <w:szCs w:val="22"/>
                <w14:ligatures w14:val="none"/>
              </w:rPr>
            </w:pPr>
            <w:r w:rsidRPr="004619D5">
              <w:rPr>
                <w:rFonts w:eastAsia="Times New Roman" w:cs="Aptos"/>
                <w:b/>
                <w:bCs/>
                <w:kern w:val="0"/>
                <w:sz w:val="22"/>
                <w:szCs w:val="22"/>
                <w14:ligatures w14:val="none"/>
              </w:rPr>
              <w:t>Professional curiosity, challenge, and corroboration</w:t>
            </w:r>
          </w:p>
          <w:p w:rsidR="00E15FCA" w:rsidRPr="004619D5" w:rsidRDefault="00E15FCA" w:rsidP="00E15FCA">
            <w:pPr>
              <w:numPr>
                <w:ilvl w:val="0"/>
                <w:numId w:val="12"/>
              </w:numPr>
              <w:contextualSpacing/>
              <w:rPr>
                <w:rFonts w:eastAsia="Times New Roman" w:cs="Aptos"/>
                <w:kern w:val="0"/>
                <w:sz w:val="22"/>
                <w:szCs w:val="22"/>
                <w14:ligatures w14:val="none"/>
              </w:rPr>
            </w:pPr>
            <w:r w:rsidRPr="004619D5">
              <w:rPr>
                <w:rFonts w:eastAsia="Times New Roman" w:cs="Aptos"/>
                <w:kern w:val="0"/>
                <w:sz w:val="22"/>
                <w:szCs w:val="22"/>
                <w14:ligatures w14:val="none"/>
              </w:rPr>
              <w:t>Unusual clinical findings and concerning patterns were recognised by individual professionals. However, these were not always explored or tested collectively across agencies. Explanations that appeared plausible when considered in isolation were not consistently revisited as further information became available. The review highlighted the value of sustained professional curiosity, respectful challenge, and corroboration across agencies in complex cases.</w:t>
            </w:r>
          </w:p>
          <w:p w:rsidR="00E15FCA" w:rsidRPr="004619D5" w:rsidRDefault="00E15FCA" w:rsidP="00E15FCA">
            <w:pPr>
              <w:contextualSpacing/>
              <w:rPr>
                <w:rFonts w:eastAsia="Times New Roman" w:cs="Aptos"/>
                <w:b/>
                <w:bCs/>
                <w:kern w:val="0"/>
                <w:sz w:val="22"/>
                <w:szCs w:val="22"/>
                <w14:ligatures w14:val="none"/>
              </w:rPr>
            </w:pPr>
            <w:r w:rsidRPr="004619D5">
              <w:rPr>
                <w:rFonts w:eastAsia="Times New Roman" w:cs="Aptos"/>
                <w:b/>
                <w:bCs/>
                <w:kern w:val="0"/>
                <w:sz w:val="22"/>
                <w:szCs w:val="22"/>
                <w14:ligatures w14:val="none"/>
              </w:rPr>
              <w:t>Pre</w:t>
            </w:r>
            <w:r w:rsidRPr="004619D5">
              <w:rPr>
                <w:rFonts w:ascii="Cambria Math" w:eastAsia="Times New Roman" w:hAnsi="Cambria Math" w:cs="Cambria Math"/>
                <w:b/>
                <w:bCs/>
                <w:kern w:val="0"/>
                <w:sz w:val="22"/>
                <w:szCs w:val="22"/>
                <w14:ligatures w14:val="none"/>
              </w:rPr>
              <w:t>‑</w:t>
            </w:r>
            <w:r w:rsidRPr="004619D5">
              <w:rPr>
                <w:rFonts w:eastAsia="Times New Roman" w:cs="Aptos"/>
                <w:b/>
                <w:bCs/>
                <w:kern w:val="0"/>
                <w:sz w:val="22"/>
                <w:szCs w:val="22"/>
                <w14:ligatures w14:val="none"/>
              </w:rPr>
              <w:t>birth safeguarding and anticipatory planning</w:t>
            </w:r>
          </w:p>
          <w:p w:rsidR="00E15FCA" w:rsidRPr="004619D5" w:rsidRDefault="00E15FCA" w:rsidP="00E15FCA">
            <w:pPr>
              <w:numPr>
                <w:ilvl w:val="0"/>
                <w:numId w:val="12"/>
              </w:numPr>
              <w:contextualSpacing/>
              <w:rPr>
                <w:rFonts w:eastAsia="Times New Roman" w:cs="Aptos"/>
                <w:kern w:val="0"/>
                <w:sz w:val="22"/>
                <w:szCs w:val="22"/>
                <w14:ligatures w14:val="none"/>
              </w:rPr>
            </w:pPr>
            <w:r w:rsidRPr="004619D5">
              <w:rPr>
                <w:rFonts w:eastAsia="Times New Roman" w:cs="Aptos"/>
                <w:kern w:val="0"/>
                <w:sz w:val="22"/>
                <w:szCs w:val="22"/>
                <w14:ligatures w14:val="none"/>
              </w:rPr>
              <w:t>Opportunities for earlier and more structured pre</w:t>
            </w:r>
            <w:r w:rsidRPr="004619D5">
              <w:rPr>
                <w:rFonts w:ascii="Cambria Math" w:eastAsia="Times New Roman" w:hAnsi="Cambria Math" w:cs="Cambria Math"/>
                <w:kern w:val="0"/>
                <w:sz w:val="22"/>
                <w:szCs w:val="22"/>
                <w14:ligatures w14:val="none"/>
              </w:rPr>
              <w:t>‑</w:t>
            </w:r>
            <w:r w:rsidRPr="004619D5">
              <w:rPr>
                <w:rFonts w:eastAsia="Times New Roman" w:cs="Aptos"/>
                <w:kern w:val="0"/>
                <w:sz w:val="22"/>
                <w:szCs w:val="22"/>
                <w14:ligatures w14:val="none"/>
              </w:rPr>
              <w:t>birth safeguarding planning were reduced where repeated extreme prematurity and neonatal loss were understood primarily through a clinical lens. The review identified that earlier safeguarding escalation and anticipatory planning may have strengthened protective responses where patterns of concern were present, even in the absence of criminal thresholds.</w:t>
            </w:r>
          </w:p>
          <w:p w:rsidR="00E15FCA" w:rsidRPr="004619D5" w:rsidRDefault="00E15FCA" w:rsidP="00E15FCA">
            <w:pPr>
              <w:contextualSpacing/>
              <w:rPr>
                <w:rFonts w:eastAsia="Times New Roman" w:cs="Aptos"/>
                <w:b/>
                <w:bCs/>
                <w:kern w:val="0"/>
                <w:sz w:val="22"/>
                <w:szCs w:val="22"/>
                <w14:ligatures w14:val="none"/>
              </w:rPr>
            </w:pPr>
            <w:r w:rsidRPr="004619D5">
              <w:rPr>
                <w:rFonts w:eastAsia="Times New Roman" w:cs="Aptos"/>
                <w:b/>
                <w:bCs/>
                <w:kern w:val="0"/>
                <w:sz w:val="22"/>
                <w:szCs w:val="22"/>
                <w14:ligatures w14:val="none"/>
              </w:rPr>
              <w:t>Parental vulnerability and trauma</w:t>
            </w:r>
            <w:r w:rsidRPr="004619D5">
              <w:rPr>
                <w:rFonts w:ascii="Cambria Math" w:eastAsia="Times New Roman" w:hAnsi="Cambria Math" w:cs="Cambria Math"/>
                <w:b/>
                <w:bCs/>
                <w:kern w:val="0"/>
                <w:sz w:val="22"/>
                <w:szCs w:val="22"/>
                <w14:ligatures w14:val="none"/>
              </w:rPr>
              <w:t>‑</w:t>
            </w:r>
            <w:r w:rsidRPr="004619D5">
              <w:rPr>
                <w:rFonts w:eastAsia="Times New Roman" w:cs="Aptos"/>
                <w:b/>
                <w:bCs/>
                <w:kern w:val="0"/>
                <w:sz w:val="22"/>
                <w:szCs w:val="22"/>
                <w14:ligatures w14:val="none"/>
              </w:rPr>
              <w:t>informed practice</w:t>
            </w:r>
          </w:p>
          <w:p w:rsidR="00DF07F5" w:rsidRPr="004619D5" w:rsidRDefault="00E15FCA" w:rsidP="00E15FCA">
            <w:pPr>
              <w:numPr>
                <w:ilvl w:val="0"/>
                <w:numId w:val="12"/>
              </w:numPr>
              <w:contextualSpacing/>
              <w:rPr>
                <w:rFonts w:eastAsia="Times New Roman" w:cs="Aptos"/>
                <w:kern w:val="0"/>
                <w:sz w:val="22"/>
                <w:szCs w:val="22"/>
                <w14:ligatures w14:val="none"/>
              </w:rPr>
            </w:pPr>
            <w:r w:rsidRPr="004619D5">
              <w:rPr>
                <w:rFonts w:eastAsia="Times New Roman" w:cs="Aptos"/>
                <w:kern w:val="0"/>
                <w:sz w:val="22"/>
                <w:szCs w:val="22"/>
                <w14:ligatures w14:val="none"/>
              </w:rPr>
              <w:t>Information relating to parental vulnerability, including cognitive functioning and the cumulative impact of repeated bereavement and trauma, was not always consistently integrated into safeguarding analysis and planning. Learning from the review highlighted the importance of approaches that were trauma</w:t>
            </w:r>
            <w:r w:rsidRPr="004619D5">
              <w:rPr>
                <w:rFonts w:ascii="Cambria Math" w:eastAsia="Times New Roman" w:hAnsi="Cambria Math" w:cs="Cambria Math"/>
                <w:kern w:val="0"/>
                <w:sz w:val="22"/>
                <w:szCs w:val="22"/>
                <w14:ligatures w14:val="none"/>
              </w:rPr>
              <w:t>‑</w:t>
            </w:r>
            <w:r w:rsidRPr="004619D5">
              <w:rPr>
                <w:rFonts w:eastAsia="Times New Roman" w:cs="Aptos"/>
                <w:kern w:val="0"/>
                <w:sz w:val="22"/>
                <w:szCs w:val="22"/>
                <w14:ligatures w14:val="none"/>
              </w:rPr>
              <w:t>informed, cognitively accessible, and realistic in the expectations placed on parents, with support plans that reflected identified needs.</w:t>
            </w:r>
          </w:p>
        </w:tc>
      </w:tr>
      <w:tr w:rsidR="00DF07F5" w:rsidRPr="004619D5">
        <w:tc>
          <w:tcPr>
            <w:tcW w:w="9016" w:type="dxa"/>
            <w:shd w:val="clear" w:color="auto" w:fill="3A7C22" w:themeFill="accent6" w:themeFillShade="BF"/>
            <w:hideMark/>
          </w:tcPr>
          <w:p w:rsidR="00DF07F5" w:rsidRPr="004619D5" w:rsidRDefault="00DF07F5" w:rsidP="00DF07F5">
            <w:pPr>
              <w:numPr>
                <w:ilvl w:val="0"/>
                <w:numId w:val="11"/>
              </w:numPr>
              <w:contextualSpacing/>
              <w:rPr>
                <w:rFonts w:eastAsia="Times New Roman" w:cs="Aptos"/>
                <w:kern w:val="0"/>
                <w:sz w:val="22"/>
                <w:szCs w:val="22"/>
                <w14:ligatures w14:val="none"/>
              </w:rPr>
            </w:pPr>
            <w:r w:rsidRPr="004619D5">
              <w:rPr>
                <w:rFonts w:cs="Aptos"/>
                <w:b/>
                <w:bCs/>
                <w:color w:val="FFFFFF" w:themeColor="background1"/>
                <w:kern w:val="0"/>
                <w:sz w:val="22"/>
                <w:szCs w:val="22"/>
                <w14:ligatures w14:val="none"/>
              </w:rPr>
              <w:t>What Good Practice Looks Like</w:t>
            </w:r>
          </w:p>
        </w:tc>
      </w:tr>
      <w:tr w:rsidR="00DF07F5" w:rsidRPr="004619D5">
        <w:tc>
          <w:tcPr>
            <w:tcW w:w="9016" w:type="dxa"/>
            <w:shd w:val="clear" w:color="auto" w:fill="D9F2D0" w:themeFill="accent6" w:themeFillTint="33"/>
            <w:hideMark/>
          </w:tcPr>
          <w:p w:rsidR="00782E8B" w:rsidRPr="00782E8B" w:rsidRDefault="00782E8B" w:rsidP="00F33BE9">
            <w:pPr>
              <w:pStyle w:val="ListParagraph"/>
              <w:numPr>
                <w:ilvl w:val="0"/>
                <w:numId w:val="26"/>
              </w:numPr>
              <w:spacing w:line="300" w:lineRule="atLeast"/>
              <w:rPr>
                <w:rFonts w:ascii="Segoe UI" w:eastAsia="Times New Roman" w:hAnsi="Segoe UI" w:cs="Segoe UI"/>
                <w:kern w:val="0"/>
                <w:sz w:val="21"/>
                <w:szCs w:val="21"/>
                <w:lang w:eastAsia="en-GB"/>
                <w14:ligatures w14:val="none"/>
              </w:rPr>
            </w:pPr>
            <w:r w:rsidRPr="00782E8B">
              <w:rPr>
                <w:rFonts w:ascii="Segoe UI" w:eastAsia="Times New Roman" w:hAnsi="Segoe UI" w:cs="Segoe UI"/>
                <w:kern w:val="0"/>
                <w:sz w:val="21"/>
                <w:szCs w:val="21"/>
                <w:lang w:eastAsia="en-GB"/>
                <w14:ligatures w14:val="none"/>
              </w:rPr>
              <w:t xml:space="preserve">Where there is a history of repeated prematurity, neonatal loss, serious neonatal injury or unexplained outcomes, </w:t>
            </w:r>
            <w:r w:rsidRPr="00782E8B">
              <w:rPr>
                <w:rFonts w:ascii="Segoe UI" w:eastAsia="Times New Roman" w:hAnsi="Segoe UI" w:cs="Segoe UI"/>
                <w:b/>
                <w:bCs/>
                <w:kern w:val="0"/>
                <w:sz w:val="21"/>
                <w:szCs w:val="21"/>
                <w:lang w:eastAsia="en-GB"/>
                <w14:ligatures w14:val="none"/>
              </w:rPr>
              <w:t>each new pregnancy should trigger early safeguarding consideration</w:t>
            </w:r>
            <w:r w:rsidRPr="00782E8B">
              <w:rPr>
                <w:rFonts w:ascii="Segoe UI" w:eastAsia="Times New Roman" w:hAnsi="Segoe UI" w:cs="Segoe UI"/>
                <w:kern w:val="0"/>
                <w:sz w:val="21"/>
                <w:szCs w:val="21"/>
                <w:lang w:eastAsia="en-GB"/>
                <w14:ligatures w14:val="none"/>
              </w:rPr>
              <w:t xml:space="preserve">, not just clinical monitoring. </w:t>
            </w:r>
          </w:p>
          <w:p w:rsidR="00782E8B" w:rsidRPr="00782E8B" w:rsidRDefault="00782E8B" w:rsidP="00F33BE9">
            <w:pPr>
              <w:pStyle w:val="ListParagraph"/>
              <w:numPr>
                <w:ilvl w:val="0"/>
                <w:numId w:val="26"/>
              </w:numPr>
              <w:spacing w:line="300" w:lineRule="atLeast"/>
              <w:rPr>
                <w:rFonts w:ascii="Segoe UI" w:eastAsia="Times New Roman" w:hAnsi="Segoe UI" w:cs="Segoe UI"/>
                <w:kern w:val="0"/>
                <w:sz w:val="21"/>
                <w:szCs w:val="21"/>
                <w:lang w:eastAsia="en-GB"/>
                <w14:ligatures w14:val="none"/>
              </w:rPr>
            </w:pPr>
            <w:r w:rsidRPr="00782E8B">
              <w:rPr>
                <w:rFonts w:ascii="Segoe UI" w:eastAsia="Times New Roman" w:hAnsi="Segoe UI" w:cs="Segoe UI"/>
                <w:b/>
                <w:bCs/>
                <w:kern w:val="0"/>
                <w:sz w:val="21"/>
                <w:szCs w:val="21"/>
                <w:lang w:eastAsia="en-GB"/>
                <w14:ligatures w14:val="none"/>
              </w:rPr>
              <w:t>Cumulative patterns across pregnancies</w:t>
            </w:r>
            <w:r w:rsidRPr="00782E8B">
              <w:rPr>
                <w:rFonts w:ascii="Segoe UI" w:eastAsia="Times New Roman" w:hAnsi="Segoe UI" w:cs="Segoe UI"/>
                <w:kern w:val="0"/>
                <w:sz w:val="21"/>
                <w:szCs w:val="21"/>
                <w:lang w:eastAsia="en-GB"/>
                <w14:ligatures w14:val="none"/>
              </w:rPr>
              <w:t xml:space="preserve"> should be explicitly reviewed, shared and discussed, rather than focusing on isolated episodes. </w:t>
            </w:r>
          </w:p>
          <w:p w:rsidR="00782E8B" w:rsidRPr="00782E8B" w:rsidRDefault="00782E8B" w:rsidP="00F33BE9">
            <w:pPr>
              <w:pStyle w:val="ListParagraph"/>
              <w:numPr>
                <w:ilvl w:val="0"/>
                <w:numId w:val="26"/>
              </w:numPr>
              <w:spacing w:line="300" w:lineRule="atLeast"/>
              <w:rPr>
                <w:rFonts w:ascii="Segoe UI" w:eastAsia="Times New Roman" w:hAnsi="Segoe UI" w:cs="Segoe UI"/>
                <w:kern w:val="0"/>
                <w:sz w:val="21"/>
                <w:szCs w:val="21"/>
                <w:lang w:eastAsia="en-GB"/>
                <w14:ligatures w14:val="none"/>
              </w:rPr>
            </w:pPr>
            <w:r w:rsidRPr="00782E8B">
              <w:rPr>
                <w:rFonts w:ascii="Segoe UI" w:eastAsia="Times New Roman" w:hAnsi="Segoe UI" w:cs="Segoe UI"/>
                <w:b/>
                <w:bCs/>
                <w:kern w:val="0"/>
                <w:sz w:val="21"/>
                <w:szCs w:val="21"/>
                <w:lang w:eastAsia="en-GB"/>
                <w14:ligatures w14:val="none"/>
              </w:rPr>
              <w:t>Pre</w:t>
            </w:r>
            <w:r w:rsidRPr="00782E8B">
              <w:rPr>
                <w:rFonts w:ascii="Segoe UI" w:eastAsia="Times New Roman" w:hAnsi="Segoe UI" w:cs="Segoe UI"/>
                <w:b/>
                <w:bCs/>
                <w:kern w:val="0"/>
                <w:sz w:val="21"/>
                <w:szCs w:val="21"/>
                <w:lang w:eastAsia="en-GB"/>
                <w14:ligatures w14:val="none"/>
              </w:rPr>
              <w:noBreakHyphen/>
              <w:t>birth safeguarding pathways should be used proactively</w:t>
            </w:r>
            <w:r w:rsidRPr="00782E8B">
              <w:rPr>
                <w:rFonts w:ascii="Segoe UI" w:eastAsia="Times New Roman" w:hAnsi="Segoe UI" w:cs="Segoe UI"/>
                <w:kern w:val="0"/>
                <w:sz w:val="21"/>
                <w:szCs w:val="21"/>
                <w:lang w:eastAsia="en-GB"/>
                <w14:ligatures w14:val="none"/>
              </w:rPr>
              <w:t xml:space="preserve">, even where causation is uncertain and criminal thresholds are not met. </w:t>
            </w:r>
          </w:p>
          <w:p w:rsidR="00782E8B" w:rsidRPr="00782E8B" w:rsidRDefault="00782E8B" w:rsidP="00F33BE9">
            <w:pPr>
              <w:pStyle w:val="ListParagraph"/>
              <w:numPr>
                <w:ilvl w:val="0"/>
                <w:numId w:val="26"/>
              </w:numPr>
              <w:spacing w:line="300" w:lineRule="atLeast"/>
              <w:rPr>
                <w:rFonts w:ascii="Segoe UI" w:eastAsia="Times New Roman" w:hAnsi="Segoe UI" w:cs="Segoe UI"/>
                <w:kern w:val="0"/>
                <w:sz w:val="21"/>
                <w:szCs w:val="21"/>
                <w:lang w:eastAsia="en-GB"/>
                <w14:ligatures w14:val="none"/>
              </w:rPr>
            </w:pPr>
            <w:r w:rsidRPr="00782E8B">
              <w:rPr>
                <w:rFonts w:ascii="Segoe UI" w:eastAsia="Times New Roman" w:hAnsi="Segoe UI" w:cs="Segoe UI"/>
                <w:b/>
                <w:bCs/>
                <w:kern w:val="0"/>
                <w:sz w:val="21"/>
                <w:szCs w:val="21"/>
                <w:lang w:eastAsia="en-GB"/>
                <w14:ligatures w14:val="none"/>
              </w:rPr>
              <w:t>Uncertainty should prompt planning, not delay it</w:t>
            </w:r>
            <w:r w:rsidRPr="00782E8B">
              <w:rPr>
                <w:rFonts w:ascii="Segoe UI" w:eastAsia="Times New Roman" w:hAnsi="Segoe UI" w:cs="Segoe UI"/>
                <w:kern w:val="0"/>
                <w:sz w:val="21"/>
                <w:szCs w:val="21"/>
                <w:lang w:eastAsia="en-GB"/>
                <w14:ligatures w14:val="none"/>
              </w:rPr>
              <w:t xml:space="preserve">, with safeguarding action taken alongside ongoing clinical assessment. </w:t>
            </w:r>
          </w:p>
          <w:p w:rsidR="00782E8B" w:rsidRPr="00782E8B" w:rsidRDefault="00782E8B" w:rsidP="00F33BE9">
            <w:pPr>
              <w:pStyle w:val="ListParagraph"/>
              <w:numPr>
                <w:ilvl w:val="0"/>
                <w:numId w:val="26"/>
              </w:numPr>
              <w:spacing w:line="300" w:lineRule="atLeast"/>
              <w:rPr>
                <w:rFonts w:ascii="Segoe UI" w:eastAsia="Times New Roman" w:hAnsi="Segoe UI" w:cs="Segoe UI"/>
                <w:kern w:val="0"/>
                <w:sz w:val="21"/>
                <w:szCs w:val="21"/>
                <w:lang w:eastAsia="en-GB"/>
                <w14:ligatures w14:val="none"/>
              </w:rPr>
            </w:pPr>
            <w:r w:rsidRPr="00782E8B">
              <w:rPr>
                <w:rFonts w:ascii="Segoe UI" w:eastAsia="Times New Roman" w:hAnsi="Segoe UI" w:cs="Segoe UI"/>
                <w:b/>
                <w:bCs/>
                <w:kern w:val="0"/>
                <w:sz w:val="21"/>
                <w:szCs w:val="21"/>
                <w:lang w:eastAsia="en-GB"/>
                <w14:ligatures w14:val="none"/>
              </w:rPr>
              <w:t>Multi</w:t>
            </w:r>
            <w:r w:rsidRPr="00782E8B">
              <w:rPr>
                <w:rFonts w:ascii="Segoe UI" w:eastAsia="Times New Roman" w:hAnsi="Segoe UI" w:cs="Segoe UI"/>
                <w:b/>
                <w:bCs/>
                <w:kern w:val="0"/>
                <w:sz w:val="21"/>
                <w:szCs w:val="21"/>
                <w:lang w:eastAsia="en-GB"/>
                <w14:ligatures w14:val="none"/>
              </w:rPr>
              <w:noBreakHyphen/>
              <w:t>agency discussions should happen before birth</w:t>
            </w:r>
            <w:r w:rsidRPr="00782E8B">
              <w:rPr>
                <w:rFonts w:ascii="Segoe UI" w:eastAsia="Times New Roman" w:hAnsi="Segoe UI" w:cs="Segoe UI"/>
                <w:kern w:val="0"/>
                <w:sz w:val="21"/>
                <w:szCs w:val="21"/>
                <w:lang w:eastAsia="en-GB"/>
                <w14:ligatures w14:val="none"/>
              </w:rPr>
              <w:t xml:space="preserve">, focused on the protection and support the baby will need from birth. </w:t>
            </w:r>
          </w:p>
          <w:p w:rsidR="00DF07F5" w:rsidRPr="00782E8B" w:rsidRDefault="00782E8B" w:rsidP="00F33BE9">
            <w:pPr>
              <w:pStyle w:val="ListParagraph"/>
              <w:numPr>
                <w:ilvl w:val="0"/>
                <w:numId w:val="26"/>
              </w:numPr>
              <w:spacing w:line="300" w:lineRule="atLeast"/>
              <w:rPr>
                <w:rFonts w:eastAsia="Times New Roman" w:cs="Aptos"/>
                <w:kern w:val="0"/>
                <w:sz w:val="22"/>
                <w:szCs w:val="22"/>
                <w14:ligatures w14:val="none"/>
              </w:rPr>
            </w:pPr>
            <w:r w:rsidRPr="00782E8B">
              <w:rPr>
                <w:rFonts w:ascii="Segoe UI" w:eastAsia="Times New Roman" w:hAnsi="Segoe UI" w:cs="Segoe UI"/>
                <w:b/>
                <w:bCs/>
                <w:kern w:val="0"/>
                <w:sz w:val="21"/>
                <w:szCs w:val="21"/>
                <w:lang w:eastAsia="en-GB"/>
                <w14:ligatures w14:val="none"/>
              </w:rPr>
              <w:t>Clear professional roles and escalation routes</w:t>
            </w:r>
            <w:r w:rsidRPr="00782E8B">
              <w:rPr>
                <w:rFonts w:ascii="Segoe UI" w:eastAsia="Times New Roman" w:hAnsi="Segoe UI" w:cs="Segoe UI"/>
                <w:kern w:val="0"/>
                <w:sz w:val="21"/>
                <w:szCs w:val="21"/>
                <w:lang w:eastAsia="en-GB"/>
                <w14:ligatures w14:val="none"/>
              </w:rPr>
              <w:t xml:space="preserve"> should be agreed in advance if concerns continue or increase.</w:t>
            </w:r>
          </w:p>
        </w:tc>
      </w:tr>
      <w:tr w:rsidR="00DF07F5" w:rsidRPr="004619D5">
        <w:tc>
          <w:tcPr>
            <w:tcW w:w="9016" w:type="dxa"/>
            <w:shd w:val="clear" w:color="auto" w:fill="E59EDC" w:themeFill="accent5" w:themeFillTint="66"/>
            <w:hideMark/>
          </w:tcPr>
          <w:p w:rsidR="00DF07F5" w:rsidRPr="004619D5" w:rsidRDefault="00DF07F5" w:rsidP="00DF07F5">
            <w:pPr>
              <w:numPr>
                <w:ilvl w:val="0"/>
                <w:numId w:val="11"/>
              </w:numPr>
              <w:contextualSpacing/>
              <w:rPr>
                <w:rFonts w:eastAsia="Times New Roman" w:cs="Aptos"/>
                <w:kern w:val="0"/>
                <w:sz w:val="22"/>
                <w:szCs w:val="22"/>
                <w14:ligatures w14:val="none"/>
              </w:rPr>
            </w:pPr>
            <w:r w:rsidRPr="004619D5">
              <w:rPr>
                <w:rFonts w:cs="Aptos"/>
                <w:b/>
                <w:bCs/>
                <w:kern w:val="0"/>
                <w:sz w:val="22"/>
                <w:szCs w:val="22"/>
                <w14:ligatures w14:val="none"/>
              </w:rPr>
              <w:t>Actions for Practitioners</w:t>
            </w:r>
            <w:r w:rsidR="00E15FCA" w:rsidRPr="004619D5">
              <w:rPr>
                <w:rFonts w:cs="Aptos"/>
                <w:b/>
                <w:bCs/>
                <w:kern w:val="0"/>
                <w:sz w:val="22"/>
                <w:szCs w:val="22"/>
                <w14:ligatures w14:val="none"/>
              </w:rPr>
              <w:t xml:space="preserve"> and agencies</w:t>
            </w:r>
          </w:p>
        </w:tc>
      </w:tr>
      <w:tr w:rsidR="00DF07F5" w:rsidRPr="004619D5">
        <w:tc>
          <w:tcPr>
            <w:tcW w:w="9016" w:type="dxa"/>
            <w:shd w:val="clear" w:color="auto" w:fill="F2CEED" w:themeFill="accent5" w:themeFillTint="33"/>
            <w:hideMark/>
          </w:tcPr>
          <w:p w:rsidR="00080F47" w:rsidRPr="00C25141" w:rsidRDefault="00080F47" w:rsidP="00F33BE9">
            <w:pPr>
              <w:pStyle w:val="ListParagraph"/>
              <w:numPr>
                <w:ilvl w:val="0"/>
                <w:numId w:val="26"/>
              </w:numPr>
              <w:rPr>
                <w:rFonts w:eastAsia="Times New Roman" w:cs="Aptos"/>
                <w:kern w:val="0"/>
                <w:sz w:val="22"/>
                <w:szCs w:val="22"/>
                <w14:ligatures w14:val="none"/>
              </w:rPr>
            </w:pPr>
            <w:r w:rsidRPr="00C25141">
              <w:rPr>
                <w:rFonts w:eastAsia="Times New Roman" w:cs="Aptos"/>
                <w:kern w:val="0"/>
                <w:sz w:val="22"/>
                <w:szCs w:val="22"/>
                <w14:ligatures w14:val="none"/>
              </w:rPr>
              <w:t>Parental vulnerability (including cognitive functioning, learning needs, mental health and the impact of trauma or repeated bereavement) should be treated as a core safeguarding factor, not background information.</w:t>
            </w:r>
          </w:p>
          <w:p w:rsidR="00080F47" w:rsidRPr="00C25141" w:rsidRDefault="00080F47" w:rsidP="00F33BE9">
            <w:pPr>
              <w:pStyle w:val="ListParagraph"/>
              <w:numPr>
                <w:ilvl w:val="0"/>
                <w:numId w:val="26"/>
              </w:numPr>
              <w:rPr>
                <w:rFonts w:eastAsia="Times New Roman" w:cs="Aptos"/>
                <w:kern w:val="0"/>
                <w:sz w:val="22"/>
                <w:szCs w:val="22"/>
                <w14:ligatures w14:val="none"/>
              </w:rPr>
            </w:pPr>
            <w:r w:rsidRPr="00C25141">
              <w:rPr>
                <w:rFonts w:eastAsia="Times New Roman" w:cs="Aptos"/>
                <w:kern w:val="0"/>
                <w:sz w:val="22"/>
                <w:szCs w:val="22"/>
                <w14:ligatures w14:val="none"/>
              </w:rPr>
              <w:t>Identified vulnerabilities should be explicitly included in safeguarding analysis and decision</w:t>
            </w:r>
            <w:r w:rsidRPr="00C25141">
              <w:rPr>
                <w:rFonts w:ascii="Cambria Math" w:eastAsia="Times New Roman" w:hAnsi="Cambria Math" w:cs="Cambria Math"/>
                <w:kern w:val="0"/>
                <w:sz w:val="22"/>
                <w:szCs w:val="22"/>
                <w14:ligatures w14:val="none"/>
              </w:rPr>
              <w:t>‑</w:t>
            </w:r>
            <w:r w:rsidRPr="00C25141">
              <w:rPr>
                <w:rFonts w:eastAsia="Times New Roman" w:cs="Aptos"/>
                <w:kern w:val="0"/>
                <w:sz w:val="22"/>
                <w:szCs w:val="22"/>
                <w14:ligatures w14:val="none"/>
              </w:rPr>
              <w:t>making, alongside concerns about the baby.</w:t>
            </w:r>
          </w:p>
          <w:p w:rsidR="00080F47" w:rsidRPr="00C25141" w:rsidRDefault="00080F47" w:rsidP="00F33BE9">
            <w:pPr>
              <w:pStyle w:val="ListParagraph"/>
              <w:numPr>
                <w:ilvl w:val="0"/>
                <w:numId w:val="26"/>
              </w:numPr>
              <w:rPr>
                <w:rFonts w:eastAsia="Times New Roman" w:cs="Aptos"/>
                <w:kern w:val="0"/>
                <w:sz w:val="22"/>
                <w:szCs w:val="22"/>
                <w14:ligatures w14:val="none"/>
              </w:rPr>
            </w:pPr>
            <w:r w:rsidRPr="00C25141">
              <w:rPr>
                <w:rFonts w:eastAsia="Times New Roman" w:cs="Aptos"/>
                <w:kern w:val="0"/>
                <w:sz w:val="22"/>
                <w:szCs w:val="22"/>
                <w14:ligatures w14:val="none"/>
              </w:rPr>
              <w:t xml:space="preserve">Professionals should check understanding and capacity, rather than </w:t>
            </w:r>
            <w:proofErr w:type="gramStart"/>
            <w:r w:rsidRPr="00C25141">
              <w:rPr>
                <w:rFonts w:eastAsia="Times New Roman" w:cs="Aptos"/>
                <w:kern w:val="0"/>
                <w:sz w:val="22"/>
                <w:szCs w:val="22"/>
                <w14:ligatures w14:val="none"/>
              </w:rPr>
              <w:t>assuming that</w:t>
            </w:r>
            <w:proofErr w:type="gramEnd"/>
            <w:r w:rsidRPr="00C25141">
              <w:rPr>
                <w:rFonts w:eastAsia="Times New Roman" w:cs="Aptos"/>
                <w:kern w:val="0"/>
                <w:sz w:val="22"/>
                <w:szCs w:val="22"/>
                <w14:ligatures w14:val="none"/>
              </w:rPr>
              <w:t xml:space="preserve"> reassurance, consent or engagement equates to comprehension or ability to follow plans.</w:t>
            </w:r>
          </w:p>
          <w:p w:rsidR="00080F47" w:rsidRPr="00C25141" w:rsidRDefault="00080F47" w:rsidP="00F33BE9">
            <w:pPr>
              <w:pStyle w:val="ListParagraph"/>
              <w:numPr>
                <w:ilvl w:val="0"/>
                <w:numId w:val="26"/>
              </w:numPr>
              <w:rPr>
                <w:rFonts w:eastAsia="Times New Roman" w:cs="Aptos"/>
                <w:kern w:val="0"/>
                <w:sz w:val="22"/>
                <w:szCs w:val="22"/>
                <w14:ligatures w14:val="none"/>
              </w:rPr>
            </w:pPr>
            <w:r w:rsidRPr="00C25141">
              <w:rPr>
                <w:rFonts w:eastAsia="Times New Roman" w:cs="Aptos"/>
                <w:kern w:val="0"/>
                <w:sz w:val="22"/>
                <w:szCs w:val="22"/>
                <w14:ligatures w14:val="none"/>
              </w:rPr>
              <w:t>Communication and plans should be adapted to be clear, accessible and proportionate, using repetition, written information or additional support where needed.</w:t>
            </w:r>
          </w:p>
          <w:p w:rsidR="00080F47" w:rsidRPr="00C25141" w:rsidRDefault="00080F47" w:rsidP="00F33BE9">
            <w:pPr>
              <w:pStyle w:val="ListParagraph"/>
              <w:numPr>
                <w:ilvl w:val="0"/>
                <w:numId w:val="26"/>
              </w:numPr>
              <w:rPr>
                <w:rFonts w:eastAsia="Times New Roman" w:cs="Aptos"/>
                <w:kern w:val="0"/>
                <w:sz w:val="22"/>
                <w:szCs w:val="22"/>
                <w14:ligatures w14:val="none"/>
              </w:rPr>
            </w:pPr>
            <w:r w:rsidRPr="00C25141">
              <w:rPr>
                <w:rFonts w:eastAsia="Times New Roman" w:cs="Aptos"/>
                <w:kern w:val="0"/>
                <w:sz w:val="22"/>
                <w:szCs w:val="22"/>
                <w14:ligatures w14:val="none"/>
              </w:rPr>
              <w:t>Parental reassurance or apparent cooperation should be corroborated, particularly in complex or long</w:t>
            </w:r>
            <w:r w:rsidRPr="00C25141">
              <w:rPr>
                <w:rFonts w:ascii="Cambria Math" w:eastAsia="Times New Roman" w:hAnsi="Cambria Math" w:cs="Cambria Math"/>
                <w:kern w:val="0"/>
                <w:sz w:val="22"/>
                <w:szCs w:val="22"/>
                <w14:ligatures w14:val="none"/>
              </w:rPr>
              <w:t>‑</w:t>
            </w:r>
            <w:r w:rsidRPr="00C25141">
              <w:rPr>
                <w:rFonts w:eastAsia="Times New Roman" w:cs="Aptos"/>
                <w:kern w:val="0"/>
                <w:sz w:val="22"/>
                <w:szCs w:val="22"/>
                <w14:ligatures w14:val="none"/>
              </w:rPr>
              <w:t>standing cases.</w:t>
            </w:r>
          </w:p>
          <w:p w:rsidR="00080F47" w:rsidRPr="00C25141" w:rsidRDefault="00080F47" w:rsidP="00F33BE9">
            <w:pPr>
              <w:pStyle w:val="ListParagraph"/>
              <w:numPr>
                <w:ilvl w:val="0"/>
                <w:numId w:val="26"/>
              </w:numPr>
              <w:rPr>
                <w:rFonts w:eastAsia="Times New Roman" w:cs="Aptos"/>
                <w:kern w:val="0"/>
                <w:sz w:val="22"/>
                <w:szCs w:val="22"/>
                <w14:ligatures w14:val="none"/>
              </w:rPr>
            </w:pPr>
            <w:r w:rsidRPr="00C25141">
              <w:rPr>
                <w:rFonts w:eastAsia="Times New Roman" w:cs="Aptos"/>
                <w:kern w:val="0"/>
                <w:sz w:val="22"/>
                <w:szCs w:val="22"/>
                <w14:ligatures w14:val="none"/>
              </w:rPr>
              <w:t>The impact of trauma on behaviour and engagement should be recognised, without lowering safeguarding thresholds or delaying escalation.</w:t>
            </w:r>
          </w:p>
          <w:p w:rsidR="00F51629" w:rsidRPr="004619D5" w:rsidRDefault="00080F47" w:rsidP="00F33BE9">
            <w:pPr>
              <w:numPr>
                <w:ilvl w:val="0"/>
                <w:numId w:val="26"/>
              </w:numPr>
              <w:contextualSpacing/>
              <w:rPr>
                <w:rFonts w:eastAsia="Times New Roman" w:cs="Aptos"/>
                <w:kern w:val="0"/>
                <w:sz w:val="22"/>
                <w:szCs w:val="22"/>
                <w14:ligatures w14:val="none"/>
              </w:rPr>
            </w:pPr>
            <w:r w:rsidRPr="00080F47">
              <w:rPr>
                <w:rFonts w:eastAsia="Times New Roman" w:cs="Aptos"/>
                <w:kern w:val="0"/>
                <w:sz w:val="22"/>
                <w:szCs w:val="22"/>
                <w14:ligatures w14:val="none"/>
              </w:rPr>
              <w:t>Support and safeguarding plans should be realistic, coordinated across agencies, and focused on meeting the baby’s needs, with adult support adjusted accordingly.</w:t>
            </w:r>
          </w:p>
        </w:tc>
      </w:tr>
      <w:tr w:rsidR="00DF07F5" w:rsidRPr="004619D5">
        <w:tc>
          <w:tcPr>
            <w:tcW w:w="9016" w:type="dxa"/>
            <w:shd w:val="clear" w:color="auto" w:fill="3A7C22" w:themeFill="accent6" w:themeFillShade="BF"/>
            <w:hideMark/>
          </w:tcPr>
          <w:p w:rsidR="00DF07F5" w:rsidRPr="004619D5" w:rsidRDefault="00DF07F5" w:rsidP="00DF07F5">
            <w:pPr>
              <w:numPr>
                <w:ilvl w:val="0"/>
                <w:numId w:val="11"/>
              </w:numPr>
              <w:contextualSpacing/>
              <w:rPr>
                <w:rFonts w:eastAsia="Times New Roman" w:cs="Aptos"/>
                <w:kern w:val="0"/>
                <w:sz w:val="22"/>
                <w:szCs w:val="22"/>
                <w14:ligatures w14:val="none"/>
              </w:rPr>
            </w:pPr>
            <w:r w:rsidRPr="004619D5">
              <w:rPr>
                <w:rFonts w:cs="Aptos"/>
                <w:b/>
                <w:bCs/>
                <w:color w:val="FFFFFF" w:themeColor="background1"/>
                <w:kern w:val="0"/>
                <w:sz w:val="22"/>
                <w:szCs w:val="22"/>
                <w14:ligatures w14:val="none"/>
              </w:rPr>
              <w:t>Resources &amp; Support</w:t>
            </w:r>
          </w:p>
        </w:tc>
      </w:tr>
      <w:tr w:rsidR="00DF07F5" w:rsidRPr="004619D5">
        <w:tc>
          <w:tcPr>
            <w:tcW w:w="9016" w:type="dxa"/>
            <w:shd w:val="clear" w:color="auto" w:fill="D9F2D0" w:themeFill="accent6" w:themeFillTint="33"/>
            <w:hideMark/>
          </w:tcPr>
          <w:p w:rsidR="00DF07F5" w:rsidRPr="004619D5" w:rsidRDefault="00DF07F5" w:rsidP="008D63E8">
            <w:pPr>
              <w:numPr>
                <w:ilvl w:val="0"/>
                <w:numId w:val="15"/>
              </w:numPr>
              <w:contextualSpacing/>
              <w:rPr>
                <w:rFonts w:eastAsia="Times New Roman" w:cs="Aptos"/>
                <w:kern w:val="0"/>
                <w:sz w:val="22"/>
                <w:szCs w:val="22"/>
                <w14:ligatures w14:val="none"/>
              </w:rPr>
            </w:pPr>
            <w:r w:rsidRPr="004619D5">
              <w:rPr>
                <w:rFonts w:eastAsia="Times New Roman" w:cs="Aptos"/>
                <w:kern w:val="0"/>
                <w:sz w:val="22"/>
                <w:szCs w:val="22"/>
                <w14:ligatures w14:val="none"/>
              </w:rPr>
              <w:t xml:space="preserve">Training opportunities: </w:t>
            </w:r>
            <w:hyperlink r:id="rId7" w:history="1">
              <w:r w:rsidRPr="004619D5">
                <w:rPr>
                  <w:rFonts w:eastAsia="Times New Roman" w:cs="Aptos"/>
                  <w:color w:val="0000FF"/>
                  <w:kern w:val="0"/>
                  <w:sz w:val="22"/>
                  <w:szCs w:val="22"/>
                  <w:u w:val="single"/>
                  <w14:ligatures w14:val="none"/>
                </w:rPr>
                <w:t>Safeguarding Childrens Partnership Training offer</w:t>
              </w:r>
            </w:hyperlink>
          </w:p>
          <w:p w:rsidR="008D63E8" w:rsidRPr="004619D5" w:rsidRDefault="003D4F05" w:rsidP="008D63E8">
            <w:pPr>
              <w:numPr>
                <w:ilvl w:val="0"/>
                <w:numId w:val="15"/>
              </w:numPr>
              <w:rPr>
                <w:rFonts w:eastAsia="Times New Roman" w:cs="Aptos"/>
                <w:kern w:val="0"/>
                <w:sz w:val="22"/>
                <w:szCs w:val="22"/>
                <w14:ligatures w14:val="none"/>
              </w:rPr>
            </w:pPr>
            <w:r w:rsidRPr="004619D5">
              <w:rPr>
                <w:rFonts w:eastAsia="Times New Roman" w:cs="Aptos"/>
                <w:kern w:val="0"/>
                <w:sz w:val="22"/>
                <w:szCs w:val="22"/>
                <w14:ligatures w14:val="none"/>
              </w:rPr>
              <w:t>G</w:t>
            </w:r>
            <w:r w:rsidR="008D63E8" w:rsidRPr="004619D5">
              <w:rPr>
                <w:rFonts w:eastAsia="Times New Roman" w:cs="Aptos"/>
                <w:kern w:val="0"/>
                <w:sz w:val="22"/>
                <w:szCs w:val="22"/>
                <w14:ligatures w14:val="none"/>
              </w:rPr>
              <w:t xml:space="preserve">uidance: </w:t>
            </w:r>
            <w:r w:rsidR="00E15FCA" w:rsidRPr="004619D5">
              <w:rPr>
                <w:rFonts w:eastAsia="Times New Roman" w:cs="Aptos"/>
                <w:kern w:val="0"/>
                <w:sz w:val="22"/>
                <w:szCs w:val="22"/>
                <w14:ligatures w14:val="none"/>
              </w:rPr>
              <w:t xml:space="preserve">Local safeguarding guidance relevant to </w:t>
            </w:r>
            <w:hyperlink r:id="rId8" w:history="1">
              <w:r w:rsidR="00E15FCA" w:rsidRPr="000941A4">
                <w:rPr>
                  <w:rStyle w:val="Hyperlink"/>
                  <w:rFonts w:eastAsia="Times New Roman" w:cs="Aptos"/>
                  <w:kern w:val="0"/>
                  <w:sz w:val="22"/>
                  <w:szCs w:val="22"/>
                  <w14:ligatures w14:val="none"/>
                </w:rPr>
                <w:t>pre</w:t>
              </w:r>
              <w:r w:rsidR="00E15FCA" w:rsidRPr="000941A4">
                <w:rPr>
                  <w:rStyle w:val="Hyperlink"/>
                  <w:rFonts w:ascii="Cambria Math" w:eastAsia="Times New Roman" w:hAnsi="Cambria Math" w:cs="Cambria Math"/>
                  <w:kern w:val="0"/>
                  <w:sz w:val="22"/>
                  <w:szCs w:val="22"/>
                  <w14:ligatures w14:val="none"/>
                </w:rPr>
                <w:t>‑</w:t>
              </w:r>
              <w:r w:rsidR="00E15FCA" w:rsidRPr="000941A4">
                <w:rPr>
                  <w:rStyle w:val="Hyperlink"/>
                  <w:rFonts w:eastAsia="Times New Roman" w:cs="Aptos"/>
                  <w:kern w:val="0"/>
                  <w:sz w:val="22"/>
                  <w:szCs w:val="22"/>
                  <w14:ligatures w14:val="none"/>
                </w:rPr>
                <w:t>birth practice</w:t>
              </w:r>
            </w:hyperlink>
            <w:r w:rsidR="00E15FCA" w:rsidRPr="004619D5">
              <w:rPr>
                <w:rFonts w:eastAsia="Times New Roman" w:cs="Aptos"/>
                <w:kern w:val="0"/>
                <w:sz w:val="22"/>
                <w:szCs w:val="22"/>
                <w14:ligatures w14:val="none"/>
              </w:rPr>
              <w:t xml:space="preserve">, </w:t>
            </w:r>
            <w:hyperlink r:id="rId9" w:history="1">
              <w:r w:rsidR="00E15FCA" w:rsidRPr="000941A4">
                <w:rPr>
                  <w:rStyle w:val="Hyperlink"/>
                  <w:rFonts w:eastAsia="Times New Roman" w:cs="Aptos"/>
                  <w:kern w:val="0"/>
                  <w:sz w:val="22"/>
                  <w:szCs w:val="22"/>
                  <w14:ligatures w14:val="none"/>
                </w:rPr>
                <w:t>information sharing</w:t>
              </w:r>
            </w:hyperlink>
            <w:r w:rsidR="00E15FCA" w:rsidRPr="004619D5">
              <w:rPr>
                <w:rFonts w:eastAsia="Times New Roman" w:cs="Aptos"/>
                <w:kern w:val="0"/>
                <w:sz w:val="22"/>
                <w:szCs w:val="22"/>
                <w14:ligatures w14:val="none"/>
              </w:rPr>
              <w:t xml:space="preserve">, and </w:t>
            </w:r>
            <w:hyperlink r:id="rId10" w:history="1">
              <w:r w:rsidR="00E15FCA" w:rsidRPr="000941A4">
                <w:rPr>
                  <w:rStyle w:val="Hyperlink"/>
                  <w:rFonts w:eastAsia="Times New Roman" w:cs="Aptos"/>
                  <w:kern w:val="0"/>
                  <w:sz w:val="22"/>
                  <w:szCs w:val="22"/>
                  <w14:ligatures w14:val="none"/>
                </w:rPr>
                <w:t>multi</w:t>
              </w:r>
              <w:r w:rsidR="00E15FCA" w:rsidRPr="000941A4">
                <w:rPr>
                  <w:rStyle w:val="Hyperlink"/>
                  <w:rFonts w:ascii="Cambria Math" w:eastAsia="Times New Roman" w:hAnsi="Cambria Math" w:cs="Cambria Math"/>
                  <w:kern w:val="0"/>
                  <w:sz w:val="22"/>
                  <w:szCs w:val="22"/>
                  <w14:ligatures w14:val="none"/>
                </w:rPr>
                <w:t>‑</w:t>
              </w:r>
              <w:r w:rsidR="00E15FCA" w:rsidRPr="000941A4">
                <w:rPr>
                  <w:rStyle w:val="Hyperlink"/>
                  <w:rFonts w:eastAsia="Times New Roman" w:cs="Aptos"/>
                  <w:kern w:val="0"/>
                  <w:sz w:val="22"/>
                  <w:szCs w:val="22"/>
                  <w14:ligatures w14:val="none"/>
                </w:rPr>
                <w:t>agency escalation</w:t>
              </w:r>
            </w:hyperlink>
            <w:r w:rsidR="000941A4">
              <w:rPr>
                <w:rFonts w:eastAsia="Times New Roman" w:cs="Aptos"/>
                <w:kern w:val="0"/>
                <w:sz w:val="22"/>
                <w:szCs w:val="22"/>
                <w14:ligatures w14:val="none"/>
              </w:rPr>
              <w:t>.</w:t>
            </w:r>
          </w:p>
        </w:tc>
      </w:tr>
      <w:tr w:rsidR="00DF07F5" w:rsidRPr="004619D5">
        <w:tc>
          <w:tcPr>
            <w:tcW w:w="9016" w:type="dxa"/>
            <w:shd w:val="clear" w:color="auto" w:fill="E59EDC" w:themeFill="accent5" w:themeFillTint="66"/>
            <w:hideMark/>
          </w:tcPr>
          <w:p w:rsidR="00DF07F5" w:rsidRPr="004619D5" w:rsidRDefault="00DF07F5" w:rsidP="00DF07F5">
            <w:pPr>
              <w:numPr>
                <w:ilvl w:val="0"/>
                <w:numId w:val="11"/>
              </w:numPr>
              <w:contextualSpacing/>
              <w:rPr>
                <w:rFonts w:eastAsia="Times New Roman" w:cs="Aptos"/>
                <w:kern w:val="0"/>
                <w:sz w:val="22"/>
                <w:szCs w:val="22"/>
                <w14:ligatures w14:val="none"/>
              </w:rPr>
            </w:pPr>
            <w:r w:rsidRPr="004619D5">
              <w:rPr>
                <w:rFonts w:cs="Aptos"/>
                <w:b/>
                <w:bCs/>
                <w:kern w:val="0"/>
                <w:sz w:val="22"/>
                <w:szCs w:val="22"/>
                <w14:ligatures w14:val="none"/>
              </w:rPr>
              <w:t>Points for consideration</w:t>
            </w:r>
          </w:p>
        </w:tc>
      </w:tr>
      <w:tr w:rsidR="00DF07F5" w:rsidRPr="004619D5">
        <w:tc>
          <w:tcPr>
            <w:tcW w:w="9016" w:type="dxa"/>
            <w:shd w:val="clear" w:color="auto" w:fill="F2CEED" w:themeFill="accent5" w:themeFillTint="33"/>
            <w:hideMark/>
          </w:tcPr>
          <w:p w:rsidR="00E15FCA" w:rsidRPr="004619D5" w:rsidRDefault="00E15FCA" w:rsidP="00E15FCA">
            <w:pPr>
              <w:numPr>
                <w:ilvl w:val="0"/>
                <w:numId w:val="15"/>
              </w:numPr>
              <w:contextualSpacing/>
              <w:rPr>
                <w:rFonts w:eastAsia="Times New Roman" w:cs="Aptos"/>
                <w:kern w:val="0"/>
                <w:sz w:val="22"/>
                <w:szCs w:val="22"/>
                <w14:ligatures w14:val="none"/>
              </w:rPr>
            </w:pPr>
            <w:r w:rsidRPr="004619D5">
              <w:rPr>
                <w:rFonts w:eastAsia="Times New Roman" w:cs="Aptos"/>
                <w:kern w:val="0"/>
                <w:sz w:val="22"/>
                <w:szCs w:val="22"/>
                <w14:ligatures w14:val="none"/>
              </w:rPr>
              <w:t>How did this learning relate to your role or agency?</w:t>
            </w:r>
          </w:p>
          <w:p w:rsidR="00DF07F5" w:rsidRPr="004619D5" w:rsidRDefault="00E15FCA" w:rsidP="00E15FCA">
            <w:pPr>
              <w:numPr>
                <w:ilvl w:val="0"/>
                <w:numId w:val="15"/>
              </w:numPr>
              <w:contextualSpacing/>
              <w:rPr>
                <w:rFonts w:eastAsia="Times New Roman" w:cs="Aptos"/>
                <w:kern w:val="0"/>
                <w:sz w:val="22"/>
                <w:szCs w:val="22"/>
                <w14:ligatures w14:val="none"/>
              </w:rPr>
            </w:pPr>
            <w:r w:rsidRPr="004619D5">
              <w:rPr>
                <w:rFonts w:eastAsia="Times New Roman" w:cs="Aptos"/>
                <w:kern w:val="0"/>
                <w:sz w:val="22"/>
                <w:szCs w:val="22"/>
                <w14:ligatures w14:val="none"/>
              </w:rPr>
              <w:t>What reflections or changes in practice could be considered to strengthen safeguarding responses?</w:t>
            </w:r>
          </w:p>
        </w:tc>
      </w:tr>
    </w:tbl>
    <w:p w:rsidR="00DF07F5" w:rsidRDefault="00DF07F5" w:rsidP="00DF07F5">
      <w:pPr>
        <w:spacing w:after="0" w:line="240" w:lineRule="auto"/>
      </w:pPr>
    </w:p>
    <w:sectPr w:rsidR="00DF07F5">
      <w:headerReference w:type="default" r:id="rId11"/>
      <w:footerReference w:type="even" r:id="rId12"/>
      <w:footerReference w:type="defaul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D20A0" w:rsidRDefault="000D20A0" w:rsidP="00D90492">
      <w:pPr>
        <w:spacing w:after="0" w:line="240" w:lineRule="auto"/>
      </w:pPr>
      <w:r>
        <w:separator/>
      </w:r>
    </w:p>
  </w:endnote>
  <w:endnote w:type="continuationSeparator" w:id="0">
    <w:p w:rsidR="000D20A0" w:rsidRDefault="000D20A0" w:rsidP="00D904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0492" w:rsidRDefault="00D90492">
    <w:pPr>
      <w:pStyle w:val="Footer"/>
    </w:pPr>
    <w:r>
      <w:rPr>
        <w:noProof/>
      </w:rPr>
      <mc:AlternateContent>
        <mc:Choice Requires="wps">
          <w:drawing>
            <wp:anchor distT="0" distB="0" distL="0" distR="0" simplePos="0" relativeHeight="251659264" behindDoc="0" locked="0" layoutInCell="1" allowOverlap="1" wp14:anchorId="0585FF38" wp14:editId="31FA9B67">
              <wp:simplePos x="635" y="635"/>
              <wp:positionH relativeFrom="page">
                <wp:align>center</wp:align>
              </wp:positionH>
              <wp:positionV relativeFrom="page">
                <wp:align>bottom</wp:align>
              </wp:positionV>
              <wp:extent cx="686435" cy="393700"/>
              <wp:effectExtent l="0" t="0" r="18415" b="0"/>
              <wp:wrapNone/>
              <wp:docPr id="1163258854"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93700"/>
                      </a:xfrm>
                      <a:prstGeom prst="rect">
                        <a:avLst/>
                      </a:prstGeom>
                      <a:noFill/>
                      <a:ln>
                        <a:noFill/>
                      </a:ln>
                    </wps:spPr>
                    <wps:txbx>
                      <w:txbxContent>
                        <w:p w:rsidR="00D90492" w:rsidRPr="00D90492" w:rsidRDefault="00D90492" w:rsidP="00D90492">
                          <w:pPr>
                            <w:spacing w:after="0"/>
                            <w:rPr>
                              <w:rFonts w:ascii="Arial" w:eastAsia="Arial" w:hAnsi="Arial" w:cs="Arial"/>
                              <w:noProof/>
                              <w:color w:val="003EC8"/>
                            </w:rPr>
                          </w:pPr>
                          <w:r w:rsidRPr="00D90492">
                            <w:rPr>
                              <w:rFonts w:ascii="Arial" w:eastAsia="Arial" w:hAnsi="Arial" w:cs="Arial"/>
                              <w:noProof/>
                              <w:color w:val="003EC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585FF38" id="_x0000_t202" coordsize="21600,21600" o:spt="202" path="m,l,21600r21600,l21600,xe">
              <v:stroke joinstyle="miter"/>
              <v:path gradientshapeok="t" o:connecttype="rect"/>
            </v:shapetype>
            <v:shape id="Text Box 2" o:spid="_x0000_s1026" type="#_x0000_t202" alt="OFFICIAL" style="position:absolute;margin-left:0;margin-top:0;width:54.05pt;height:31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" filled="f" stroked="f">
              <v:textbox style="mso-fit-shape-to-text:t" inset="0,0,0,15pt">
                <w:txbxContent>
                  <w:p w:rsidR="00D90492" w:rsidRPr="00D90492" w:rsidRDefault="00D90492" w:rsidP="00D90492">
                    <w:pPr>
                      <w:spacing w:after="0"/>
                      <w:rPr>
                        <w:rFonts w:ascii="Arial" w:eastAsia="Arial" w:hAnsi="Arial" w:cs="Arial"/>
                        <w:noProof/>
                        <w:color w:val="003EC8"/>
                      </w:rPr>
                    </w:pPr>
                    <w:r w:rsidRPr="00D90492">
                      <w:rPr>
                        <w:rFonts w:ascii="Arial" w:eastAsia="Arial" w:hAnsi="Arial" w:cs="Arial"/>
                        <w:noProof/>
                        <w:color w:val="003EC8"/>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0492" w:rsidRDefault="00D90492">
    <w:pPr>
      <w:pStyle w:val="Footer"/>
    </w:pPr>
    <w:r>
      <w:rPr>
        <w:noProof/>
      </w:rPr>
      <mc:AlternateContent>
        <mc:Choice Requires="wps">
          <w:drawing>
            <wp:anchor distT="0" distB="0" distL="0" distR="0" simplePos="0" relativeHeight="251660288" behindDoc="0" locked="0" layoutInCell="1" allowOverlap="1" wp14:anchorId="6D7B0720" wp14:editId="78814C92">
              <wp:simplePos x="635" y="635"/>
              <wp:positionH relativeFrom="page">
                <wp:align>center</wp:align>
              </wp:positionH>
              <wp:positionV relativeFrom="page">
                <wp:align>bottom</wp:align>
              </wp:positionV>
              <wp:extent cx="686435" cy="393700"/>
              <wp:effectExtent l="0" t="0" r="18415" b="0"/>
              <wp:wrapNone/>
              <wp:docPr id="1134008558" name="Text Box 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93700"/>
                      </a:xfrm>
                      <a:prstGeom prst="rect">
                        <a:avLst/>
                      </a:prstGeom>
                      <a:noFill/>
                      <a:ln>
                        <a:noFill/>
                      </a:ln>
                    </wps:spPr>
                    <wps:txbx>
                      <w:txbxContent>
                        <w:p w:rsidR="00D90492" w:rsidRPr="00D90492" w:rsidRDefault="00D90492" w:rsidP="00D90492">
                          <w:pPr>
                            <w:spacing w:after="0"/>
                            <w:rPr>
                              <w:rFonts w:ascii="Arial" w:eastAsia="Arial" w:hAnsi="Arial" w:cs="Arial"/>
                              <w:noProof/>
                              <w:color w:val="003EC8"/>
                            </w:rPr>
                          </w:pPr>
                          <w:r w:rsidRPr="00D90492">
                            <w:rPr>
                              <w:rFonts w:ascii="Arial" w:eastAsia="Arial" w:hAnsi="Arial" w:cs="Arial"/>
                              <w:noProof/>
                              <w:color w:val="003EC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D7B0720" id="_x0000_t202" coordsize="21600,21600" o:spt="202" path="m,l,21600r21600,l21600,xe">
              <v:stroke joinstyle="miter"/>
              <v:path gradientshapeok="t" o:connecttype="rect"/>
            </v:shapetype>
            <v:shape id="Text Box 3" o:spid="_x0000_s1027" type="#_x0000_t202" alt="OFFICIAL" style="position:absolute;margin-left:0;margin-top:0;width:54.05pt;height:31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" filled="f" stroked="f">
              <v:textbox style="mso-fit-shape-to-text:t" inset="0,0,0,15pt">
                <w:txbxContent>
                  <w:p w:rsidR="00D90492" w:rsidRPr="00D90492" w:rsidRDefault="00D90492" w:rsidP="00D90492">
                    <w:pPr>
                      <w:spacing w:after="0"/>
                      <w:rPr>
                        <w:rFonts w:ascii="Arial" w:eastAsia="Arial" w:hAnsi="Arial" w:cs="Arial"/>
                        <w:noProof/>
                        <w:color w:val="003EC8"/>
                      </w:rPr>
                    </w:pPr>
                    <w:r w:rsidRPr="00D90492">
                      <w:rPr>
                        <w:rFonts w:ascii="Arial" w:eastAsia="Arial" w:hAnsi="Arial" w:cs="Arial"/>
                        <w:noProof/>
                        <w:color w:val="003EC8"/>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0492" w:rsidRDefault="00D90492">
    <w:pPr>
      <w:pStyle w:val="Footer"/>
    </w:pPr>
    <w:r>
      <w:rPr>
        <w:noProof/>
      </w:rPr>
      <mc:AlternateContent>
        <mc:Choice Requires="wps">
          <w:drawing>
            <wp:anchor distT="0" distB="0" distL="0" distR="0" simplePos="0" relativeHeight="251658240" behindDoc="0" locked="0" layoutInCell="1" allowOverlap="1" wp14:anchorId="5CA355DA" wp14:editId="673CA368">
              <wp:simplePos x="635" y="635"/>
              <wp:positionH relativeFrom="page">
                <wp:align>center</wp:align>
              </wp:positionH>
              <wp:positionV relativeFrom="page">
                <wp:align>bottom</wp:align>
              </wp:positionV>
              <wp:extent cx="686435" cy="393700"/>
              <wp:effectExtent l="0" t="0" r="18415" b="0"/>
              <wp:wrapNone/>
              <wp:docPr id="1352147651" name="Text Box 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93700"/>
                      </a:xfrm>
                      <a:prstGeom prst="rect">
                        <a:avLst/>
                      </a:prstGeom>
                      <a:noFill/>
                      <a:ln>
                        <a:noFill/>
                      </a:ln>
                    </wps:spPr>
                    <wps:txbx>
                      <w:txbxContent>
                        <w:p w:rsidR="00D90492" w:rsidRPr="00D90492" w:rsidRDefault="00D90492" w:rsidP="00D90492">
                          <w:pPr>
                            <w:spacing w:after="0"/>
                            <w:rPr>
                              <w:rFonts w:ascii="Arial" w:eastAsia="Arial" w:hAnsi="Arial" w:cs="Arial"/>
                              <w:noProof/>
                              <w:color w:val="003EC8"/>
                            </w:rPr>
                          </w:pPr>
                          <w:r w:rsidRPr="00D90492">
                            <w:rPr>
                              <w:rFonts w:ascii="Arial" w:eastAsia="Arial" w:hAnsi="Arial" w:cs="Arial"/>
                              <w:noProof/>
                              <w:color w:val="003EC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CA355DA" id="_x0000_t202" coordsize="21600,21600" o:spt="202" path="m,l,21600r21600,l21600,xe">
              <v:stroke joinstyle="miter"/>
              <v:path gradientshapeok="t" o:connecttype="rect"/>
            </v:shapetype>
            <v:shape id="Text Box 1" o:spid="_x0000_s1028" type="#_x0000_t202" alt="OFFICIAL" style="position:absolute;margin-left:0;margin-top:0;width:54.05pt;height:31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" filled="f" stroked="f">
              <v:textbox style="mso-fit-shape-to-text:t" inset="0,0,0,15pt">
                <w:txbxContent>
                  <w:p w:rsidR="00D90492" w:rsidRPr="00D90492" w:rsidRDefault="00D90492" w:rsidP="00D90492">
                    <w:pPr>
                      <w:spacing w:after="0"/>
                      <w:rPr>
                        <w:rFonts w:ascii="Arial" w:eastAsia="Arial" w:hAnsi="Arial" w:cs="Arial"/>
                        <w:noProof/>
                        <w:color w:val="003EC8"/>
                      </w:rPr>
                    </w:pPr>
                    <w:r w:rsidRPr="00D90492">
                      <w:rPr>
                        <w:rFonts w:ascii="Arial" w:eastAsia="Arial" w:hAnsi="Arial" w:cs="Arial"/>
                        <w:noProof/>
                        <w:color w:val="003EC8"/>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D20A0" w:rsidRDefault="000D20A0" w:rsidP="00D90492">
      <w:pPr>
        <w:spacing w:after="0" w:line="240" w:lineRule="auto"/>
      </w:pPr>
      <w:r>
        <w:separator/>
      </w:r>
    </w:p>
  </w:footnote>
  <w:footnote w:type="continuationSeparator" w:id="0">
    <w:p w:rsidR="000D20A0" w:rsidRDefault="000D20A0" w:rsidP="00D904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0492" w:rsidRDefault="004619D5" w:rsidP="00D90492">
    <w:pPr>
      <w:pStyle w:val="Header"/>
      <w:jc w:val="center"/>
    </w:pPr>
    <w:r>
      <w:rPr>
        <w:noProof/>
      </w:rPr>
      <w:drawing>
        <wp:inline distT="0" distB="0" distL="0" distR="0" wp14:anchorId="7298DEC5" wp14:editId="04DE0FD6">
          <wp:extent cx="1051023" cy="1019175"/>
          <wp:effectExtent l="0" t="0" r="0" b="0"/>
          <wp:docPr id="6225259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8908" cy="1026821"/>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C0A66"/>
    <w:multiLevelType w:val="multilevel"/>
    <w:tmpl w:val="1820FF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3A2175"/>
    <w:multiLevelType w:val="multilevel"/>
    <w:tmpl w:val="D66A61F0"/>
    <w:lvl w:ilvl="0">
      <w:start w:val="1"/>
      <w:numFmt w:val="bullet"/>
      <w:lvlText w:val=""/>
      <w:lvlJc w:val="left"/>
      <w:pPr>
        <w:tabs>
          <w:tab w:val="num" w:pos="360"/>
        </w:tabs>
        <w:ind w:left="360" w:hanging="360"/>
      </w:pPr>
      <w:rPr>
        <w:rFonts w:ascii="Wingdings" w:hAnsi="Wingdings"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164D45DC"/>
    <w:multiLevelType w:val="multilevel"/>
    <w:tmpl w:val="CB5C0ADC"/>
    <w:lvl w:ilvl="0">
      <w:start w:val="1"/>
      <w:numFmt w:val="bullet"/>
      <w:lvlText w:val="o"/>
      <w:lvlJc w:val="left"/>
      <w:pPr>
        <w:tabs>
          <w:tab w:val="num" w:pos="1080"/>
        </w:tabs>
        <w:ind w:left="1080" w:hanging="360"/>
      </w:pPr>
      <w:rPr>
        <w:rFonts w:ascii="Courier New" w:hAnsi="Courier New" w:cs="Courier New"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3" w15:restartNumberingAfterBreak="0">
    <w:nsid w:val="19D66868"/>
    <w:multiLevelType w:val="hybridMultilevel"/>
    <w:tmpl w:val="BE2C4D50"/>
    <w:lvl w:ilvl="0" w:tplc="0EFC5B0A">
      <w:start w:val="1"/>
      <w:numFmt w:val="bullet"/>
      <w:lvlText w:val=""/>
      <w:lvlJc w:val="left"/>
      <w:pPr>
        <w:ind w:left="360" w:hanging="360"/>
      </w:pPr>
      <w:rPr>
        <w:rFonts w:ascii="Wingdings" w:hAnsi="Wingdings" w:hint="default"/>
        <w:color w:val="275317" w:themeColor="accent6" w:themeShade="80"/>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21B961FE"/>
    <w:multiLevelType w:val="hybridMultilevel"/>
    <w:tmpl w:val="1D4EB0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36925E3"/>
    <w:multiLevelType w:val="hybridMultilevel"/>
    <w:tmpl w:val="3A02C776"/>
    <w:lvl w:ilvl="0" w:tplc="EB28241E">
      <w:start w:val="1"/>
      <w:numFmt w:val="bullet"/>
      <w:lvlText w:val=""/>
      <w:lvlJc w:val="left"/>
      <w:pPr>
        <w:ind w:left="360" w:hanging="360"/>
      </w:pPr>
      <w:rPr>
        <w:rFonts w:ascii="Wingdings" w:hAnsi="Wingdings" w:hint="default"/>
        <w:color w:val="275317" w:themeColor="accent6" w:themeShade="80"/>
        <w:sz w:val="36"/>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309E4B8C"/>
    <w:multiLevelType w:val="hybridMultilevel"/>
    <w:tmpl w:val="039610A8"/>
    <w:lvl w:ilvl="0" w:tplc="EB28241E">
      <w:start w:val="1"/>
      <w:numFmt w:val="bullet"/>
      <w:lvlText w:val=""/>
      <w:lvlJc w:val="left"/>
      <w:pPr>
        <w:ind w:left="360" w:hanging="360"/>
      </w:pPr>
      <w:rPr>
        <w:rFonts w:ascii="Wingdings" w:hAnsi="Wingdings" w:hint="default"/>
        <w:color w:val="275317" w:themeColor="accent6" w:themeShade="80"/>
        <w:sz w:val="3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50D6730"/>
    <w:multiLevelType w:val="multilevel"/>
    <w:tmpl w:val="BEA2E0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8FE33DC"/>
    <w:multiLevelType w:val="multilevel"/>
    <w:tmpl w:val="9CC6E5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9493AB4"/>
    <w:multiLevelType w:val="hybridMultilevel"/>
    <w:tmpl w:val="B86212CA"/>
    <w:lvl w:ilvl="0" w:tplc="929AA834">
      <w:start w:val="1"/>
      <w:numFmt w:val="bullet"/>
      <w:lvlText w:val=""/>
      <w:lvlJc w:val="left"/>
      <w:pPr>
        <w:ind w:left="360" w:hanging="360"/>
      </w:pPr>
      <w:rPr>
        <w:rFonts w:ascii="Wingdings" w:hAnsi="Wingdings" w:hint="default"/>
        <w:color w:val="275317" w:themeColor="accent6" w:themeShade="80"/>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CAC3782"/>
    <w:multiLevelType w:val="multilevel"/>
    <w:tmpl w:val="ABC0855C"/>
    <w:lvl w:ilvl="0">
      <w:start w:val="1"/>
      <w:numFmt w:val="bullet"/>
      <w:lvlText w:val=""/>
      <w:lvlJc w:val="left"/>
      <w:pPr>
        <w:tabs>
          <w:tab w:val="num" w:pos="360"/>
        </w:tabs>
        <w:ind w:left="360" w:hanging="360"/>
      </w:pPr>
      <w:rPr>
        <w:rFonts w:ascii="Wingdings" w:hAnsi="Wingdings" w:hint="default"/>
        <w:color w:val="275317" w:themeColor="accent6" w:themeShade="80"/>
        <w:sz w:val="36"/>
      </w:rPr>
    </w:lvl>
    <w:lvl w:ilvl="1">
      <w:start w:val="1"/>
      <w:numFmt w:val="bullet"/>
      <w:lvlText w:val=""/>
      <w:lvlJc w:val="left"/>
      <w:pPr>
        <w:ind w:left="1080" w:hanging="360"/>
      </w:pPr>
      <w:rPr>
        <w:rFonts w:ascii="Symbol" w:hAnsi="Symbol" w:hint="default"/>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54504DA6"/>
    <w:multiLevelType w:val="hybridMultilevel"/>
    <w:tmpl w:val="62CEFD82"/>
    <w:lvl w:ilvl="0" w:tplc="442EEDFA">
      <w:start w:val="1"/>
      <w:numFmt w:val="decimal"/>
      <w:lvlText w:val="%1."/>
      <w:lvlJc w:val="left"/>
      <w:pPr>
        <w:ind w:left="360" w:hanging="360"/>
      </w:pPr>
      <w:rPr>
        <w:b/>
        <w:i w:val="0"/>
        <w:color w:val="000000" w:themeColor="text1"/>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2" w15:restartNumberingAfterBreak="0">
    <w:nsid w:val="560B3D9D"/>
    <w:multiLevelType w:val="multilevel"/>
    <w:tmpl w:val="C1F42F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9612469"/>
    <w:multiLevelType w:val="multilevel"/>
    <w:tmpl w:val="32F681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ED8460F"/>
    <w:multiLevelType w:val="hybridMultilevel"/>
    <w:tmpl w:val="E72ABDD8"/>
    <w:lvl w:ilvl="0" w:tplc="0EFC5B0A">
      <w:start w:val="1"/>
      <w:numFmt w:val="bullet"/>
      <w:lvlText w:val=""/>
      <w:lvlJc w:val="left"/>
      <w:pPr>
        <w:ind w:left="360" w:hanging="360"/>
      </w:pPr>
      <w:rPr>
        <w:rFonts w:ascii="Wingdings" w:hAnsi="Wingdings" w:hint="default"/>
        <w:color w:val="275317" w:themeColor="accent6" w:themeShade="80"/>
        <w:sz w:val="36"/>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 w15:restartNumberingAfterBreak="0">
    <w:nsid w:val="5FE63FDD"/>
    <w:multiLevelType w:val="hybridMultilevel"/>
    <w:tmpl w:val="98EAE902"/>
    <w:lvl w:ilvl="0" w:tplc="CB90E368">
      <w:start w:val="1"/>
      <w:numFmt w:val="bullet"/>
      <w:lvlText w:val=""/>
      <w:lvlJc w:val="left"/>
      <w:pPr>
        <w:ind w:left="360" w:hanging="360"/>
      </w:pPr>
      <w:rPr>
        <w:rFonts w:ascii="Wingdings" w:hAnsi="Wingdings" w:hint="default"/>
        <w:color w:val="4EA72E" w:themeColor="accent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6A1858FE"/>
    <w:multiLevelType w:val="multilevel"/>
    <w:tmpl w:val="A4783E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D9F4609"/>
    <w:multiLevelType w:val="hybridMultilevel"/>
    <w:tmpl w:val="B8B69056"/>
    <w:lvl w:ilvl="0" w:tplc="18781AA4">
      <w:start w:val="1"/>
      <w:numFmt w:val="bullet"/>
      <w:lvlText w:val=""/>
      <w:lvlJc w:val="left"/>
      <w:pPr>
        <w:ind w:left="360" w:hanging="360"/>
      </w:pPr>
      <w:rPr>
        <w:rFonts w:ascii="Wingdings" w:hAnsi="Wingdings" w:hint="default"/>
        <w:color w:val="275317" w:themeColor="accent6" w:themeShade="80"/>
        <w:sz w:val="24"/>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8" w15:restartNumberingAfterBreak="0">
    <w:nsid w:val="6F0861C3"/>
    <w:multiLevelType w:val="hybridMultilevel"/>
    <w:tmpl w:val="63E26A36"/>
    <w:lvl w:ilvl="0" w:tplc="DBD28594">
      <w:start w:val="1"/>
      <w:numFmt w:val="bullet"/>
      <w:lvlText w:val=""/>
      <w:lvlJc w:val="left"/>
      <w:pPr>
        <w:ind w:left="360" w:hanging="360"/>
      </w:pPr>
      <w:rPr>
        <w:rFonts w:ascii="Wingdings" w:hAnsi="Wingdings" w:hint="default"/>
        <w:color w:val="275317" w:themeColor="accent6" w:themeShade="80"/>
        <w:sz w:val="36"/>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717C6B03"/>
    <w:multiLevelType w:val="multilevel"/>
    <w:tmpl w:val="ABB6FB9A"/>
    <w:lvl w:ilvl="0">
      <w:start w:val="1"/>
      <w:numFmt w:val="bullet"/>
      <w:lvlText w:val="o"/>
      <w:lvlJc w:val="left"/>
      <w:pPr>
        <w:tabs>
          <w:tab w:val="num" w:pos="1080"/>
        </w:tabs>
        <w:ind w:left="1080" w:hanging="360"/>
      </w:pPr>
      <w:rPr>
        <w:rFonts w:ascii="Courier New" w:hAnsi="Courier New" w:cs="Courier New"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20" w15:restartNumberingAfterBreak="0">
    <w:nsid w:val="74192FC4"/>
    <w:multiLevelType w:val="hybridMultilevel"/>
    <w:tmpl w:val="2CB227F4"/>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1" w15:restartNumberingAfterBreak="0">
    <w:nsid w:val="76EF7664"/>
    <w:multiLevelType w:val="multilevel"/>
    <w:tmpl w:val="1E065538"/>
    <w:lvl w:ilvl="0">
      <w:start w:val="1"/>
      <w:numFmt w:val="bullet"/>
      <w:lvlText w:val="o"/>
      <w:lvlJc w:val="left"/>
      <w:pPr>
        <w:tabs>
          <w:tab w:val="num" w:pos="1080"/>
        </w:tabs>
        <w:ind w:left="1080" w:hanging="360"/>
      </w:pPr>
      <w:rPr>
        <w:rFonts w:ascii="Courier New" w:hAnsi="Courier New" w:cs="Courier New"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22" w15:restartNumberingAfterBreak="0">
    <w:nsid w:val="7A7F3EDA"/>
    <w:multiLevelType w:val="hybridMultilevel"/>
    <w:tmpl w:val="5CD0F452"/>
    <w:lvl w:ilvl="0" w:tplc="0EFC5B0A">
      <w:start w:val="1"/>
      <w:numFmt w:val="bullet"/>
      <w:lvlText w:val=""/>
      <w:lvlJc w:val="left"/>
      <w:pPr>
        <w:ind w:left="360" w:hanging="360"/>
      </w:pPr>
      <w:rPr>
        <w:rFonts w:ascii="Wingdings" w:hAnsi="Wingdings" w:hint="default"/>
        <w:color w:val="275317" w:themeColor="accent6" w:themeShade="80"/>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3" w15:restartNumberingAfterBreak="0">
    <w:nsid w:val="7ADD3A77"/>
    <w:multiLevelType w:val="multilevel"/>
    <w:tmpl w:val="CB8EC32A"/>
    <w:lvl w:ilvl="0">
      <w:start w:val="1"/>
      <w:numFmt w:val="bullet"/>
      <w:lvlText w:val="o"/>
      <w:lvlJc w:val="left"/>
      <w:pPr>
        <w:tabs>
          <w:tab w:val="num" w:pos="1080"/>
        </w:tabs>
        <w:ind w:left="1080" w:hanging="360"/>
      </w:pPr>
      <w:rPr>
        <w:rFonts w:ascii="Courier New" w:hAnsi="Courier New" w:cs="Courier New"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num w:numId="1" w16cid:durableId="759134810">
    <w:abstractNumId w:val="8"/>
  </w:num>
  <w:num w:numId="2" w16cid:durableId="1962228304">
    <w:abstractNumId w:val="7"/>
  </w:num>
  <w:num w:numId="3" w16cid:durableId="357388273">
    <w:abstractNumId w:val="16"/>
  </w:num>
  <w:num w:numId="4" w16cid:durableId="1500584025">
    <w:abstractNumId w:val="13"/>
  </w:num>
  <w:num w:numId="5" w16cid:durableId="1967006161">
    <w:abstractNumId w:val="12"/>
  </w:num>
  <w:num w:numId="6" w16cid:durableId="649672828">
    <w:abstractNumId w:val="0"/>
  </w:num>
  <w:num w:numId="7" w16cid:durableId="1368607070">
    <w:abstractNumId w:val="2"/>
  </w:num>
  <w:num w:numId="8" w16cid:durableId="816915346">
    <w:abstractNumId w:val="19"/>
  </w:num>
  <w:num w:numId="9" w16cid:durableId="693266108">
    <w:abstractNumId w:val="21"/>
  </w:num>
  <w:num w:numId="10" w16cid:durableId="882671606">
    <w:abstractNumId w:val="23"/>
  </w:num>
  <w:num w:numId="11" w16cid:durableId="120706086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66165638">
    <w:abstractNumId w:val="1"/>
  </w:num>
  <w:num w:numId="13" w16cid:durableId="223953123">
    <w:abstractNumId w:val="10"/>
  </w:num>
  <w:num w:numId="14" w16cid:durableId="697855812">
    <w:abstractNumId w:val="18"/>
  </w:num>
  <w:num w:numId="15" w16cid:durableId="2007174228">
    <w:abstractNumId w:val="20"/>
  </w:num>
  <w:num w:numId="16" w16cid:durableId="284971116">
    <w:abstractNumId w:val="18"/>
  </w:num>
  <w:num w:numId="17" w16cid:durableId="404496283">
    <w:abstractNumId w:val="20"/>
  </w:num>
  <w:num w:numId="18" w16cid:durableId="446316695">
    <w:abstractNumId w:val="4"/>
  </w:num>
  <w:num w:numId="19" w16cid:durableId="1066609802">
    <w:abstractNumId w:val="15"/>
  </w:num>
  <w:num w:numId="20" w16cid:durableId="926770194">
    <w:abstractNumId w:val="3"/>
  </w:num>
  <w:num w:numId="21" w16cid:durableId="1598901230">
    <w:abstractNumId w:val="22"/>
  </w:num>
  <w:num w:numId="22" w16cid:durableId="288509902">
    <w:abstractNumId w:val="17"/>
  </w:num>
  <w:num w:numId="23" w16cid:durableId="1035035648">
    <w:abstractNumId w:val="5"/>
  </w:num>
  <w:num w:numId="24" w16cid:durableId="503663735">
    <w:abstractNumId w:val="6"/>
  </w:num>
  <w:num w:numId="25" w16cid:durableId="1704162661">
    <w:abstractNumId w:val="14"/>
  </w:num>
  <w:num w:numId="26" w16cid:durableId="83638665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492"/>
    <w:rsid w:val="00046007"/>
    <w:rsid w:val="00066524"/>
    <w:rsid w:val="00080F47"/>
    <w:rsid w:val="000941A4"/>
    <w:rsid w:val="000D081C"/>
    <w:rsid w:val="000D20A0"/>
    <w:rsid w:val="000F6D21"/>
    <w:rsid w:val="001D43A6"/>
    <w:rsid w:val="00275C71"/>
    <w:rsid w:val="003B038F"/>
    <w:rsid w:val="003D4F05"/>
    <w:rsid w:val="0045095E"/>
    <w:rsid w:val="004619D5"/>
    <w:rsid w:val="004631F3"/>
    <w:rsid w:val="004A0231"/>
    <w:rsid w:val="005054AE"/>
    <w:rsid w:val="005114DF"/>
    <w:rsid w:val="0051632B"/>
    <w:rsid w:val="00610A64"/>
    <w:rsid w:val="00610C3D"/>
    <w:rsid w:val="006347E9"/>
    <w:rsid w:val="00690043"/>
    <w:rsid w:val="00736325"/>
    <w:rsid w:val="00782E8B"/>
    <w:rsid w:val="007D15C1"/>
    <w:rsid w:val="008128CD"/>
    <w:rsid w:val="0084778C"/>
    <w:rsid w:val="008873EB"/>
    <w:rsid w:val="00887571"/>
    <w:rsid w:val="00891132"/>
    <w:rsid w:val="008D4519"/>
    <w:rsid w:val="008D63E8"/>
    <w:rsid w:val="00952FE9"/>
    <w:rsid w:val="009704C3"/>
    <w:rsid w:val="0099443E"/>
    <w:rsid w:val="009D789B"/>
    <w:rsid w:val="009F00AC"/>
    <w:rsid w:val="00B23692"/>
    <w:rsid w:val="00C25141"/>
    <w:rsid w:val="00D55BBD"/>
    <w:rsid w:val="00D90492"/>
    <w:rsid w:val="00D97DFA"/>
    <w:rsid w:val="00DE4769"/>
    <w:rsid w:val="00DF07F5"/>
    <w:rsid w:val="00E15FCA"/>
    <w:rsid w:val="00E875D7"/>
    <w:rsid w:val="00F33BE9"/>
    <w:rsid w:val="00F516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8520F4"/>
  <w15:chartTrackingRefBased/>
  <w15:docId w15:val="{9E36459A-6F3B-4275-8F86-B0600747B9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63E8"/>
  </w:style>
  <w:style w:type="paragraph" w:styleId="Heading1">
    <w:name w:val="heading 1"/>
    <w:basedOn w:val="Normal"/>
    <w:next w:val="Normal"/>
    <w:link w:val="Heading1Char"/>
    <w:uiPriority w:val="9"/>
    <w:qFormat/>
    <w:rsid w:val="00D9049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9049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9049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9049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9049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9049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049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049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049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049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9049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9049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9049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9049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9049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049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049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0492"/>
    <w:rPr>
      <w:rFonts w:eastAsiaTheme="majorEastAsia" w:cstheme="majorBidi"/>
      <w:color w:val="272727" w:themeColor="text1" w:themeTint="D8"/>
    </w:rPr>
  </w:style>
  <w:style w:type="paragraph" w:styleId="Title">
    <w:name w:val="Title"/>
    <w:basedOn w:val="Normal"/>
    <w:next w:val="Normal"/>
    <w:link w:val="TitleChar"/>
    <w:uiPriority w:val="10"/>
    <w:qFormat/>
    <w:rsid w:val="00D904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049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049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049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0492"/>
    <w:pPr>
      <w:spacing w:before="160"/>
      <w:jc w:val="center"/>
    </w:pPr>
    <w:rPr>
      <w:i/>
      <w:iCs/>
      <w:color w:val="404040" w:themeColor="text1" w:themeTint="BF"/>
    </w:rPr>
  </w:style>
  <w:style w:type="character" w:customStyle="1" w:styleId="QuoteChar">
    <w:name w:val="Quote Char"/>
    <w:basedOn w:val="DefaultParagraphFont"/>
    <w:link w:val="Quote"/>
    <w:uiPriority w:val="29"/>
    <w:rsid w:val="00D90492"/>
    <w:rPr>
      <w:i/>
      <w:iCs/>
      <w:color w:val="404040" w:themeColor="text1" w:themeTint="BF"/>
    </w:rPr>
  </w:style>
  <w:style w:type="paragraph" w:styleId="ListParagraph">
    <w:name w:val="List Paragraph"/>
    <w:basedOn w:val="Normal"/>
    <w:uiPriority w:val="34"/>
    <w:qFormat/>
    <w:rsid w:val="00D90492"/>
    <w:pPr>
      <w:ind w:left="720"/>
      <w:contextualSpacing/>
    </w:pPr>
  </w:style>
  <w:style w:type="character" w:styleId="IntenseEmphasis">
    <w:name w:val="Intense Emphasis"/>
    <w:basedOn w:val="DefaultParagraphFont"/>
    <w:uiPriority w:val="21"/>
    <w:qFormat/>
    <w:rsid w:val="00D90492"/>
    <w:rPr>
      <w:i/>
      <w:iCs/>
      <w:color w:val="0F4761" w:themeColor="accent1" w:themeShade="BF"/>
    </w:rPr>
  </w:style>
  <w:style w:type="paragraph" w:styleId="IntenseQuote">
    <w:name w:val="Intense Quote"/>
    <w:basedOn w:val="Normal"/>
    <w:next w:val="Normal"/>
    <w:link w:val="IntenseQuoteChar"/>
    <w:uiPriority w:val="30"/>
    <w:qFormat/>
    <w:rsid w:val="00D904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90492"/>
    <w:rPr>
      <w:i/>
      <w:iCs/>
      <w:color w:val="0F4761" w:themeColor="accent1" w:themeShade="BF"/>
    </w:rPr>
  </w:style>
  <w:style w:type="character" w:styleId="IntenseReference">
    <w:name w:val="Intense Reference"/>
    <w:basedOn w:val="DefaultParagraphFont"/>
    <w:uiPriority w:val="32"/>
    <w:qFormat/>
    <w:rsid w:val="00D90492"/>
    <w:rPr>
      <w:b/>
      <w:bCs/>
      <w:smallCaps/>
      <w:color w:val="0F4761" w:themeColor="accent1" w:themeShade="BF"/>
      <w:spacing w:val="5"/>
    </w:rPr>
  </w:style>
  <w:style w:type="paragraph" w:styleId="Header">
    <w:name w:val="header"/>
    <w:basedOn w:val="Normal"/>
    <w:link w:val="HeaderChar"/>
    <w:uiPriority w:val="99"/>
    <w:unhideWhenUsed/>
    <w:rsid w:val="00D90492"/>
    <w:pPr>
      <w:tabs>
        <w:tab w:val="center" w:pos="4513"/>
        <w:tab w:val="right" w:pos="9026"/>
      </w:tabs>
      <w:spacing w:after="0" w:line="240" w:lineRule="auto"/>
    </w:pPr>
  </w:style>
  <w:style w:type="character" w:customStyle="1" w:styleId="HeaderChar">
    <w:name w:val="Header Char"/>
    <w:basedOn w:val="DefaultParagraphFont"/>
    <w:link w:val="Header"/>
    <w:uiPriority w:val="99"/>
    <w:rsid w:val="00D90492"/>
  </w:style>
  <w:style w:type="paragraph" w:styleId="Footer">
    <w:name w:val="footer"/>
    <w:basedOn w:val="Normal"/>
    <w:link w:val="FooterChar"/>
    <w:uiPriority w:val="99"/>
    <w:unhideWhenUsed/>
    <w:rsid w:val="00D90492"/>
    <w:pPr>
      <w:tabs>
        <w:tab w:val="center" w:pos="4513"/>
        <w:tab w:val="right" w:pos="9026"/>
      </w:tabs>
      <w:spacing w:after="0" w:line="240" w:lineRule="auto"/>
    </w:pPr>
  </w:style>
  <w:style w:type="character" w:customStyle="1" w:styleId="FooterChar">
    <w:name w:val="Footer Char"/>
    <w:basedOn w:val="DefaultParagraphFont"/>
    <w:link w:val="Footer"/>
    <w:uiPriority w:val="99"/>
    <w:rsid w:val="00D90492"/>
  </w:style>
  <w:style w:type="character" w:styleId="Hyperlink">
    <w:name w:val="Hyperlink"/>
    <w:basedOn w:val="DefaultParagraphFont"/>
    <w:uiPriority w:val="99"/>
    <w:unhideWhenUsed/>
    <w:rsid w:val="00D97DFA"/>
    <w:rPr>
      <w:color w:val="467886" w:themeColor="hyperlink"/>
      <w:u w:val="single"/>
    </w:rPr>
  </w:style>
  <w:style w:type="character" w:styleId="UnresolvedMention">
    <w:name w:val="Unresolved Mention"/>
    <w:basedOn w:val="DefaultParagraphFont"/>
    <w:uiPriority w:val="99"/>
    <w:semiHidden/>
    <w:unhideWhenUsed/>
    <w:rsid w:val="00D97DFA"/>
    <w:rPr>
      <w:color w:val="605E5C"/>
      <w:shd w:val="clear" w:color="auto" w:fill="E1DFDD"/>
    </w:rPr>
  </w:style>
  <w:style w:type="table" w:styleId="TableGrid">
    <w:name w:val="Table Grid"/>
    <w:basedOn w:val="TableNormal"/>
    <w:uiPriority w:val="39"/>
    <w:rsid w:val="00DF07F5"/>
    <w:pPr>
      <w:spacing w:after="0" w:line="240" w:lineRule="auto"/>
    </w:pPr>
    <w:rPr>
      <w:rFonts w:ascii="Aptos" w:eastAsia="Aptos" w:hAnsi="Aptos"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782E8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escp.org.uk/professionals/procedures-and-guidance.aspx"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cescp.org.uk/learning-and-development/courses-available-and-links-to-book.aspx"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pancheshire-cheshireeast.trixonline.co.uk/chapter/information-sharing?search=information" TargetMode="External"/><Relationship Id="rId4" Type="http://schemas.openxmlformats.org/officeDocument/2006/relationships/webSettings" Target="webSettings.xml"/><Relationship Id="rId9" Type="http://schemas.openxmlformats.org/officeDocument/2006/relationships/hyperlink" Target="https://pancheshire-cheshireeast.trixonline.co.uk/chapter/information-sharing?search=information" TargetMode="Externa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ef975da0-2206-4296-8b08-8eab8a965a3b}" enabled="1" method="Privileged" siteId="{cdb92d10-23cb-4ac1-a9b3-34f4faaa2851}" contentBits="2" removed="0"/>
</clbl:labelList>
</file>

<file path=docProps/app.xml><?xml version="1.0" encoding="utf-8"?>
<Properties xmlns="http://schemas.openxmlformats.org/officeDocument/2006/extended-properties" xmlns:vt="http://schemas.openxmlformats.org/officeDocument/2006/docPropsVTypes">
  <Template>Normal</Template>
  <TotalTime>0</TotalTime>
  <Pages>1</Pages>
  <Words>1015</Words>
  <Characters>5789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JORDAN, Alistair</dc:creator>
  <cp:keywords/>
  <dc:description/>
  <cp:lastModifiedBy>BARNETT, Hannah</cp:lastModifiedBy>
  <cp:revision>1</cp:revision>
  <dcterms:created xsi:type="dcterms:W3CDTF">2026-07-16T12:58:00Z</dcterms:created>
  <dcterms:modified xsi:type="dcterms:W3CDTF">2026-07-16T12:58:00Z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509822c3,4555ebe6,439798ee</vt:lpwstr>
  </property>
  <property fmtid="{D5CDD505-2E9C-101B-9397-08002B2CF9AE}" pid="3" name="ClassificationContentMarkingFooterFontProps">
    <vt:lpwstr>#003ec8,12,Arial</vt:lpwstr>
  </property>
  <property fmtid="{D5CDD505-2E9C-101B-9397-08002B2CF9AE}" pid="4" name="ClassificationContentMarkingFooterText">
    <vt:lpwstr>OFFICIAL</vt:lpwstr>
  </property>
  <property fmtid="{D5CDD505-2E9C-101B-9397-08002B2CF9AE}" pid="5" name="MSIP_Label_ef975da0-2206-4296-8b08-8eab8a965a3b_Enabled">
    <vt:lpwstr>true</vt:lpwstr>
  </property>
  <property fmtid="{D5CDD505-2E9C-101B-9397-08002B2CF9AE}" pid="6" name="MSIP_Label_ef975da0-2206-4296-8b08-8eab8a965a3b_SetDate">
    <vt:lpwstr>2025-12-16T09:20:16Z</vt:lpwstr>
  </property>
  <property fmtid="{D5CDD505-2E9C-101B-9397-08002B2CF9AE}" pid="7" name="MSIP_Label_ef975da0-2206-4296-8b08-8eab8a965a3b_Method">
    <vt:lpwstr>Privileged</vt:lpwstr>
  </property>
  <property fmtid="{D5CDD505-2E9C-101B-9397-08002B2CF9AE}" pid="8" name="MSIP_Label_ef975da0-2206-4296-8b08-8eab8a965a3b_Name">
    <vt:lpwstr>CE-OFFICIAL</vt:lpwstr>
  </property>
  <property fmtid="{D5CDD505-2E9C-101B-9397-08002B2CF9AE}" pid="9" name="MSIP_Label_ef975da0-2206-4296-8b08-8eab8a965a3b_SiteId">
    <vt:lpwstr>cdb92d10-23cb-4ac1-a9b3-34f4faaa2851</vt:lpwstr>
  </property>
  <property fmtid="{D5CDD505-2E9C-101B-9397-08002B2CF9AE}" pid="10" name="MSIP_Label_ef975da0-2206-4296-8b08-8eab8a965a3b_ActionId">
    <vt:lpwstr>1888384d-1005-423e-8b3e-b9fb2619c163</vt:lpwstr>
  </property>
  <property fmtid="{D5CDD505-2E9C-101B-9397-08002B2CF9AE}" pid="11" name="MSIP_Label_ef975da0-2206-4296-8b08-8eab8a965a3b_ContentBits">
    <vt:lpwstr>2</vt:lpwstr>
  </property>
  <property fmtid="{D5CDD505-2E9C-101B-9397-08002B2CF9AE}" pid="12" name="MSIP_Label_ef975da0-2206-4296-8b08-8eab8a965a3b_Tag">
    <vt:lpwstr>10, 0, 1, 1</vt:lpwstr>
  </property>
</Properties>
</file>